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3BEA2DE2" w:rsidR="00207302" w:rsidRPr="00353166" w:rsidRDefault="00207302" w:rsidP="00353166">
      <w:pPr>
        <w:shd w:val="clear" w:color="auto" w:fill="FFFFFF"/>
        <w:spacing w:line="294" w:lineRule="atLeast"/>
        <w:jc w:val="center"/>
        <w:rPr>
          <w:rFonts w:asciiTheme="minorHAnsi" w:hAnsiTheme="minorHAnsi" w:cstheme="minorHAnsi"/>
        </w:rPr>
      </w:pPr>
      <w:r w:rsidRPr="00353166">
        <w:rPr>
          <w:rFonts w:asciiTheme="minorHAnsi" w:hAnsiTheme="minorHAnsi" w:cstheme="minorHAnsi"/>
          <w:b/>
          <w:bCs/>
        </w:rPr>
        <w:t>CORRESPONDENCE VOTE FORM</w:t>
      </w:r>
    </w:p>
    <w:p w14:paraId="73CEEE0A" w14:textId="0BA0B984"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w:t>
      </w:r>
      <w:r w:rsidR="00174A8D">
        <w:rPr>
          <w:rFonts w:asciiTheme="minorHAnsi" w:hAnsiTheme="minorHAnsi" w:cstheme="minorHAnsi"/>
          <w:b/>
          <w:sz w:val="20"/>
        </w:rPr>
        <w:t>EXTRA</w:t>
      </w:r>
      <w:r w:rsidRPr="00353166">
        <w:rPr>
          <w:rFonts w:asciiTheme="minorHAnsi" w:hAnsiTheme="minorHAnsi" w:cstheme="minorHAnsi"/>
          <w:b/>
          <w:sz w:val="20"/>
        </w:rPr>
        <w:t xml:space="preserve">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7D451853" w14:textId="77777777" w:rsidR="00207302" w:rsidRPr="00353166" w:rsidRDefault="00207302" w:rsidP="00353166">
      <w:pPr>
        <w:spacing w:line="294" w:lineRule="atLeast"/>
        <w:jc w:val="both"/>
        <w:rPr>
          <w:rFonts w:asciiTheme="minorHAnsi" w:hAnsiTheme="minorHAnsi" w:cstheme="minorHAnsi"/>
          <w:lang w:eastAsia="ro-RO"/>
        </w:rPr>
      </w:pPr>
      <w:r w:rsidRPr="00353166">
        <w:rPr>
          <w:rFonts w:asciiTheme="minorHAnsi" w:hAnsiTheme="minorHAnsi" w:cstheme="minorHAnsi"/>
        </w:rPr>
        <w:t xml:space="preserve">holder of </w:t>
      </w:r>
      <w:r w:rsidRPr="00353166">
        <w:rPr>
          <w:rFonts w:asciiTheme="minorHAnsi" w:hAnsiTheme="minorHAnsi" w:cstheme="minorHAnsi"/>
          <w:bCs/>
        </w:rPr>
        <w:t>______________</w:t>
      </w:r>
      <w:r w:rsidRPr="00353166">
        <w:rPr>
          <w:rFonts w:asciiTheme="minorHAnsi" w:hAnsiTheme="minorHAnsi" w:cstheme="minorHAnsi"/>
        </w:rPr>
        <w:t xml:space="preserve"> ordinary Class A shares, representing _____ % of the total ordinary Class A shares issued by the Company, that gives me </w:t>
      </w:r>
      <w:r w:rsidRPr="00353166">
        <w:rPr>
          <w:rFonts w:asciiTheme="minorHAnsi" w:hAnsiTheme="minorHAnsi" w:cstheme="minorHAnsi"/>
          <w:bCs/>
        </w:rPr>
        <w:t>____________</w:t>
      </w:r>
      <w:r w:rsidRPr="00353166">
        <w:rPr>
          <w:rFonts w:asciiTheme="minorHAnsi" w:hAnsiTheme="minorHAnsi" w:cstheme="minorHAnsi"/>
        </w:rPr>
        <w:t xml:space="preserve"> voting rights, representing ____ % from the total number of the voting rights, </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00F870E9" w14:textId="150CFD7B"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 xml:space="preserve">Being aware of the agenda of the </w:t>
      </w:r>
      <w:r w:rsidR="00F842B6" w:rsidRPr="00F842B6">
        <w:rPr>
          <w:rFonts w:asciiTheme="minorHAnsi" w:hAnsiTheme="minorHAnsi" w:cstheme="minorHAnsi"/>
          <w:b/>
          <w:bCs/>
        </w:rPr>
        <w:t>Extrao</w:t>
      </w:r>
      <w:r w:rsidRPr="00F842B6">
        <w:rPr>
          <w:rFonts w:asciiTheme="minorHAnsi" w:hAnsiTheme="minorHAnsi" w:cstheme="minorHAnsi"/>
          <w:b/>
          <w:bCs/>
        </w:rPr>
        <w:t>r</w:t>
      </w:r>
      <w:r w:rsidRPr="00353166">
        <w:rPr>
          <w:rFonts w:asciiTheme="minorHAnsi" w:hAnsiTheme="minorHAnsi" w:cstheme="minorHAnsi"/>
          <w:b/>
          <w:bCs/>
        </w:rPr>
        <w:t>dinary General Meeting of the Shareholders of HOLDE AGRI INVEST S.A.</w:t>
      </w:r>
      <w:r w:rsidRPr="00353166">
        <w:rPr>
          <w:rFonts w:asciiTheme="minorHAnsi" w:hAnsiTheme="minorHAnsi" w:cstheme="minorHAnsi"/>
        </w:rPr>
        <w:t xml:space="preserve"> summoned for the date of</w:t>
      </w:r>
      <w:r w:rsidRPr="00353166">
        <w:rPr>
          <w:rFonts w:asciiTheme="minorHAnsi" w:hAnsiTheme="minorHAnsi" w:cstheme="minorHAnsi"/>
          <w:b/>
          <w:bCs/>
        </w:rPr>
        <w:t xml:space="preserve"> </w:t>
      </w:r>
      <w:r w:rsidR="00544F92" w:rsidRPr="00353166">
        <w:rPr>
          <w:rFonts w:asciiTheme="minorHAnsi" w:hAnsiTheme="minorHAnsi" w:cstheme="minorHAnsi"/>
          <w:b/>
          <w:bCs/>
        </w:rPr>
        <w:t>2</w:t>
      </w:r>
      <w:r w:rsidR="00D37FE1">
        <w:rPr>
          <w:rFonts w:asciiTheme="minorHAnsi" w:hAnsiTheme="minorHAnsi" w:cstheme="minorHAnsi"/>
          <w:b/>
          <w:bCs/>
        </w:rPr>
        <w:t>9</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bCs/>
        </w:rPr>
        <w:t>,</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F842B6">
        <w:rPr>
          <w:rFonts w:asciiTheme="minorHAnsi" w:hAnsiTheme="minorHAnsi" w:cstheme="minorHAnsi"/>
          <w:b/>
          <w:lang w:val="en-GB"/>
        </w:rPr>
        <w:t>7</w:t>
      </w:r>
      <w:r w:rsidR="00544F92" w:rsidRPr="00353166">
        <w:rPr>
          <w:rFonts w:asciiTheme="minorHAnsi" w:hAnsiTheme="minorHAnsi" w:cstheme="minorHAnsi"/>
          <w:b/>
          <w:lang w:val="en-GB"/>
        </w:rPr>
        <w:t>.00 p.m.</w:t>
      </w:r>
      <w:r w:rsidR="003856EA" w:rsidRPr="00353166">
        <w:rPr>
          <w:rFonts w:asciiTheme="minorHAnsi" w:hAnsiTheme="minorHAnsi" w:cstheme="minorHAnsi"/>
          <w:b/>
        </w:rPr>
        <w:t>,</w:t>
      </w:r>
      <w:r w:rsidR="003856EA" w:rsidRPr="00353166">
        <w:rPr>
          <w:rFonts w:asciiTheme="minorHAnsi" w:hAnsiTheme="minorHAnsi" w:cstheme="minorHAnsi"/>
          <w:bCs/>
        </w:rPr>
        <w:t xml:space="preserve"> at the</w:t>
      </w:r>
      <w:r w:rsidR="00D37FE1">
        <w:rPr>
          <w:rFonts w:asciiTheme="minorHAnsi" w:hAnsiTheme="minorHAnsi" w:cstheme="minorHAnsi"/>
          <w:bCs/>
        </w:rPr>
        <w:t xml:space="preserve"> registered office of the Company</w:t>
      </w:r>
      <w:r w:rsidR="003856EA" w:rsidRPr="00353166">
        <w:rPr>
          <w:rFonts w:asciiTheme="minorHAnsi" w:hAnsiTheme="minorHAnsi" w:cstheme="minorHAnsi"/>
          <w:bCs/>
        </w:rPr>
        <w:t xml:space="preserve"> </w:t>
      </w:r>
      <w:r w:rsidR="003856EA" w:rsidRPr="00353166">
        <w:rPr>
          <w:rFonts w:asciiTheme="minorHAnsi" w:hAnsiTheme="minorHAnsi" w:cstheme="minorHAnsi"/>
        </w:rPr>
        <w:t>or for</w:t>
      </w:r>
      <w:r w:rsidR="003856EA" w:rsidRPr="00353166">
        <w:rPr>
          <w:rFonts w:asciiTheme="minorHAnsi" w:hAnsiTheme="minorHAnsi" w:cstheme="minorHAnsi"/>
          <w:b/>
        </w:rPr>
        <w:t xml:space="preserve"> </w:t>
      </w:r>
      <w:r w:rsidR="00D37FE1">
        <w:rPr>
          <w:rFonts w:asciiTheme="minorHAnsi" w:hAnsiTheme="minorHAnsi" w:cstheme="minorHAnsi"/>
          <w:b/>
          <w:bCs/>
        </w:rPr>
        <w:t>30</w:t>
      </w:r>
      <w:r w:rsidR="00544F92" w:rsidRPr="00353166">
        <w:rPr>
          <w:rFonts w:asciiTheme="minorHAnsi" w:hAnsiTheme="minorHAnsi" w:cstheme="minorHAnsi"/>
          <w:b/>
          <w:bCs/>
        </w:rPr>
        <w:t>.04.202</w:t>
      </w:r>
      <w:r w:rsidR="00D37FE1">
        <w:rPr>
          <w:rFonts w:asciiTheme="minorHAnsi" w:hAnsiTheme="minorHAnsi" w:cstheme="minorHAnsi"/>
          <w:b/>
          <w:bCs/>
        </w:rPr>
        <w:t>4</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w:t>
      </w:r>
      <w:r w:rsidR="00F842B6">
        <w:rPr>
          <w:rFonts w:asciiTheme="minorHAnsi" w:hAnsiTheme="minorHAnsi" w:cstheme="minorHAnsi"/>
          <w:b/>
          <w:lang w:val="en-GB"/>
        </w:rPr>
        <w:t>7</w:t>
      </w:r>
      <w:r w:rsidR="00544F92" w:rsidRPr="00353166">
        <w:rPr>
          <w:rFonts w:asciiTheme="minorHAnsi" w:hAnsiTheme="minorHAnsi" w:cstheme="minorHAnsi"/>
          <w:b/>
          <w:lang w:val="en-GB"/>
        </w:rPr>
        <w:t xml:space="preserve">.00 </w:t>
      </w:r>
      <w:r w:rsidR="003856EA" w:rsidRPr="00353166">
        <w:rPr>
          <w:rFonts w:asciiTheme="minorHAnsi" w:hAnsiTheme="minorHAnsi" w:cstheme="minorHAnsi"/>
          <w:b/>
        </w:rPr>
        <w:t>p</w:t>
      </w:r>
      <w:r w:rsidR="003D19EA">
        <w:rPr>
          <w:rFonts w:asciiTheme="minorHAnsi" w:hAnsiTheme="minorHAnsi" w:cstheme="minorHAnsi"/>
          <w:b/>
        </w:rPr>
        <w:t>.</w:t>
      </w:r>
      <w:r w:rsidR="003856EA" w:rsidRPr="00353166">
        <w:rPr>
          <w:rFonts w:asciiTheme="minorHAnsi" w:hAnsiTheme="minorHAnsi" w:cstheme="minorHAnsi"/>
          <w:b/>
        </w:rPr>
        <w:t>m.</w:t>
      </w:r>
      <w:r w:rsidR="003856EA" w:rsidRPr="00353166">
        <w:rPr>
          <w:rFonts w:asciiTheme="minorHAnsi" w:hAnsiTheme="minorHAnsi" w:cstheme="minorHAnsi"/>
          <w:i/>
          <w:iCs/>
        </w:rPr>
        <w:t xml:space="preserve">, </w:t>
      </w:r>
      <w:r w:rsidR="003856EA" w:rsidRPr="00353166">
        <w:rPr>
          <w:rFonts w:asciiTheme="minorHAnsi" w:hAnsiTheme="minorHAnsi" w:cstheme="minorHAnsi"/>
        </w:rPr>
        <w:t xml:space="preserve">at the </w:t>
      </w:r>
      <w:r w:rsidR="00D37FE1">
        <w:rPr>
          <w:rFonts w:asciiTheme="minorHAnsi" w:hAnsiTheme="minorHAnsi" w:cstheme="minorHAnsi"/>
          <w:lang w:val="en-GB"/>
        </w:rPr>
        <w:t>registered office of the Company</w:t>
      </w:r>
      <w:r w:rsidR="003856EA" w:rsidRPr="00353166">
        <w:rPr>
          <w:rFonts w:asciiTheme="minorHAnsi" w:hAnsiTheme="minorHAnsi" w:cstheme="minorHAnsi"/>
        </w:rPr>
        <w:t xml:space="preserve"> </w:t>
      </w:r>
      <w:r w:rsidR="003856EA" w:rsidRPr="00353166">
        <w:rPr>
          <w:rFonts w:asciiTheme="minorHAnsi" w:hAnsiTheme="minorHAnsi" w:cstheme="minorHAnsi"/>
          <w:i/>
        </w:rPr>
        <w:t>(should the attendance quorum be not met at the first general meeting)</w:t>
      </w:r>
      <w:r w:rsidRPr="00353166">
        <w:rPr>
          <w:rFonts w:asciiTheme="minorHAnsi" w:hAnsiTheme="minorHAnsi" w:cstheme="minorHAnsi"/>
          <w:bCs/>
          <w:noProof/>
        </w:rPr>
        <w:t>,</w:t>
      </w:r>
      <w:r w:rsidRPr="00353166">
        <w:rPr>
          <w:rFonts w:asciiTheme="minorHAnsi" w:hAnsiTheme="minorHAnsi" w:cstheme="minorHAnsi"/>
        </w:rPr>
        <w:t xml:space="preserve"> and of the documents provided by HOLDE AGRI INVEST S.A. related to the said agenda,</w:t>
      </w:r>
      <w:r w:rsidR="00B67B82" w:rsidRPr="00353166">
        <w:rPr>
          <w:rFonts w:asciiTheme="minorHAnsi" w:hAnsiTheme="minorHAnsi" w:cstheme="minorHAnsi"/>
        </w:rPr>
        <w:t xml:space="preserve"> </w:t>
      </w:r>
    </w:p>
    <w:p w14:paraId="56105922"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4C3859EC"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in accordance with the with the Article 208 from FSA’s Regulation no. 5/2018, I herewith exercise my vote by correspondence, as follows:</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64E38385" w14:textId="684250CE" w:rsidR="00220B34" w:rsidRPr="000459A7" w:rsidRDefault="00353166"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lang w:val="en-GB"/>
        </w:rPr>
      </w:pPr>
      <w:r w:rsidRPr="000459A7">
        <w:rPr>
          <w:rFonts w:ascii="Calibri" w:hAnsi="Calibri" w:cs="Calibri"/>
          <w:b/>
          <w:bCs/>
          <w:sz w:val="20"/>
          <w:szCs w:val="20"/>
          <w:lang w:val="en-GB"/>
        </w:rPr>
        <w:t xml:space="preserve">Approval </w:t>
      </w:r>
      <w:r w:rsidR="000459A7" w:rsidRPr="000459A7">
        <w:rPr>
          <w:rFonts w:ascii="Calibri" w:hAnsi="Calibri" w:cs="Calibri"/>
          <w:b/>
          <w:bCs/>
          <w:sz w:val="20"/>
          <w:szCs w:val="20"/>
        </w:rPr>
        <w:t>of the delegation of the EGMS’ duties regarding the resolution to increase the Company’s share capital to the Board of Directors of the Company under the provisions of Art. 114 Para. (1) and 2201 para. (2) and (3) of the Law no. 31/1990, respectively pursuant to the provisions of Art. 86 Para. (2) of the Law 24/2017, for a period of three (3) years, namely until [29]/[30] April 2027,  through one or more issues of ordinary, registered and dematerialised shares, with a nominal value not exceeding half of the subscribed share capital existing at the time of the resolution and authorisation, i.e., by up to RON 60,636,792 and approving the amendment of the Articles of Association, by amending Article 5.3.1. as follows:</w:t>
      </w:r>
    </w:p>
    <w:p w14:paraId="22025B42" w14:textId="3E1CCE69" w:rsidR="000459A7" w:rsidRPr="000459A7" w:rsidRDefault="000459A7" w:rsidP="003D19EA">
      <w:pPr>
        <w:pStyle w:val="ListParagraph"/>
        <w:shd w:val="clear" w:color="auto" w:fill="FFFFFF"/>
        <w:spacing w:before="12" w:after="12" w:line="294" w:lineRule="atLeast"/>
        <w:ind w:left="702"/>
        <w:jc w:val="both"/>
        <w:rPr>
          <w:rFonts w:ascii="Calibri" w:hAnsi="Calibri" w:cs="Calibri"/>
          <w:b/>
          <w:bCs/>
          <w:i/>
          <w:iCs/>
          <w:sz w:val="20"/>
          <w:szCs w:val="20"/>
        </w:rPr>
      </w:pPr>
      <w:r w:rsidRPr="000459A7">
        <w:rPr>
          <w:rFonts w:ascii="Calibri" w:hAnsi="Calibri" w:cs="Calibri"/>
          <w:b/>
          <w:bCs/>
          <w:i/>
          <w:iCs/>
          <w:sz w:val="20"/>
          <w:szCs w:val="20"/>
        </w:rPr>
        <w:lastRenderedPageBreak/>
        <w:t>“5.3.1. The  Board of Directors is delegated and authorised to decide, within a period of 3 (three) years, ending on [</w:t>
      </w:r>
      <w:r w:rsidRPr="000459A7">
        <w:rPr>
          <w:rFonts w:ascii="Calibri" w:hAnsi="Calibri" w:cs="Calibri"/>
          <w:b/>
          <w:bCs/>
          <w:i/>
          <w:iCs/>
          <w:sz w:val="20"/>
          <w:szCs w:val="20"/>
          <w:highlight w:val="lightGray"/>
        </w:rPr>
        <w:t>29</w:t>
      </w:r>
      <w:r w:rsidRPr="000459A7">
        <w:rPr>
          <w:rFonts w:ascii="Calibri" w:hAnsi="Calibri" w:cs="Calibri"/>
          <w:b/>
          <w:bCs/>
          <w:i/>
          <w:iCs/>
          <w:sz w:val="20"/>
          <w:szCs w:val="20"/>
        </w:rPr>
        <w:t>]/[</w:t>
      </w:r>
      <w:r w:rsidRPr="000459A7">
        <w:rPr>
          <w:rFonts w:ascii="Calibri" w:hAnsi="Calibri" w:cs="Calibri"/>
          <w:b/>
          <w:bCs/>
          <w:i/>
          <w:iCs/>
          <w:sz w:val="20"/>
          <w:szCs w:val="20"/>
          <w:highlight w:val="lightGray"/>
        </w:rPr>
        <w:t>30</w:t>
      </w:r>
      <w:r w:rsidRPr="000459A7">
        <w:rPr>
          <w:rFonts w:ascii="Calibri" w:hAnsi="Calibri" w:cs="Calibri"/>
          <w:b/>
          <w:bCs/>
          <w:i/>
          <w:iCs/>
          <w:sz w:val="20"/>
          <w:szCs w:val="20"/>
        </w:rPr>
        <w:t>] April 2027, to decide the increase of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60,636,792.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financial instruments and market operations, republished, as amended and supplemented) and its implementation.”</w:t>
      </w:r>
    </w:p>
    <w:p w14:paraId="72276C95" w14:textId="77777777" w:rsidR="000459A7" w:rsidRPr="000459A7" w:rsidRDefault="000459A7" w:rsidP="003D19EA">
      <w:pPr>
        <w:pStyle w:val="ListParagraph"/>
        <w:shd w:val="clear" w:color="auto" w:fill="FFFFFF"/>
        <w:spacing w:before="12" w:after="12" w:line="294" w:lineRule="atLeast"/>
        <w:ind w:left="702"/>
        <w:jc w:val="both"/>
        <w:rPr>
          <w:rFonts w:ascii="Calibri" w:hAnsi="Calibri" w:cs="Calibri"/>
          <w:sz w:val="20"/>
          <w:szCs w:val="20"/>
        </w:rPr>
      </w:pPr>
    </w:p>
    <w:p w14:paraId="0739660D" w14:textId="77777777" w:rsidR="00220B34" w:rsidRPr="000459A7" w:rsidRDefault="00220B34" w:rsidP="00353166">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w:t>
      </w:r>
      <w:r w:rsidR="00353166" w:rsidRPr="000459A7">
        <w:rPr>
          <w:rFonts w:ascii="Calibri" w:hAnsi="Calibri" w:cs="Calibri"/>
          <w:sz w:val="20"/>
          <w:szCs w:val="20"/>
        </w:rPr>
        <w:t>Board of Directors</w:t>
      </w:r>
      <w:r w:rsidRPr="000459A7">
        <w:rPr>
          <w:rFonts w:ascii="Calibri" w:hAnsi="Calibri" w:cs="Calibri"/>
          <w:sz w:val="20"/>
          <w:szCs w:val="20"/>
        </w:rPr>
        <w:t xml:space="preserve"> of the Company  </w:t>
      </w:r>
    </w:p>
    <w:p w14:paraId="400CC74E" w14:textId="77777777" w:rsidR="00220B34" w:rsidRPr="000459A7" w:rsidRDefault="00220B34" w:rsidP="00353166">
      <w:pPr>
        <w:pStyle w:val="ListParagraph"/>
        <w:widowControl w:val="0"/>
        <w:spacing w:before="12" w:after="12" w:line="294" w:lineRule="atLeast"/>
        <w:ind w:left="702"/>
        <w:contextualSpacing w:val="0"/>
        <w:jc w:val="both"/>
        <w:rPr>
          <w:rFonts w:ascii="Calibri" w:hAnsi="Calibri" w:cs="Calibri"/>
          <w:b/>
          <w:bCs/>
          <w:sz w:val="20"/>
          <w:szCs w:val="20"/>
          <w:lang w:val="en-GB"/>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4546D939" w14:textId="77777777" w:rsidR="00220B34" w:rsidRPr="000459A7" w:rsidRDefault="00220B34" w:rsidP="00353166">
      <w:pPr>
        <w:pStyle w:val="ListParagraph"/>
        <w:widowControl w:val="0"/>
        <w:spacing w:before="120" w:after="120" w:line="294" w:lineRule="atLeast"/>
        <w:ind w:left="504"/>
        <w:contextualSpacing w:val="0"/>
        <w:jc w:val="both"/>
        <w:rPr>
          <w:rFonts w:ascii="Calibri" w:hAnsi="Calibri" w:cs="Calibri"/>
          <w:b/>
          <w:bCs/>
          <w:sz w:val="20"/>
          <w:szCs w:val="20"/>
          <w:lang w:val="en-GB"/>
        </w:rPr>
      </w:pPr>
    </w:p>
    <w:p w14:paraId="42A4D38B" w14:textId="01BCD79F" w:rsidR="000459A7" w:rsidRPr="000459A7" w:rsidRDefault="00D37FE1"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rPr>
      </w:pPr>
      <w:r w:rsidRPr="000459A7">
        <w:rPr>
          <w:rFonts w:ascii="Calibri" w:hAnsi="Calibri" w:cs="Calibri"/>
          <w:b/>
          <w:bCs/>
          <w:sz w:val="20"/>
          <w:szCs w:val="20"/>
          <w:lang w:val="en-GB"/>
        </w:rPr>
        <w:t xml:space="preserve">Approval </w:t>
      </w:r>
      <w:r w:rsidR="000459A7" w:rsidRPr="000459A7">
        <w:rPr>
          <w:rFonts w:ascii="Calibri" w:eastAsia="Calibri" w:hAnsi="Calibri" w:cs="Calibri"/>
          <w:b/>
          <w:bCs/>
          <w:sz w:val="20"/>
          <w:szCs w:val="20"/>
        </w:rPr>
        <w:t>or ratification, as the case may be, by the Company, as shareholder in the companies in which the Company is directly or indirectly a majority shareholder (individually referred to as the “Subsidiary” and collectively as the “Subsidiaries”), of the resolutions of the general meetings of shareholders of each of the Subsidiaries, approving the contracting from Banca Transilvania S. A. (the “Bank”) of a 5xAPIA Facility for the Plant Sector, in an aggregate maximum amount for all Subsidiaries of up to RON 35,000,000 (literal amount: thirty-five million), for the purpose of supporting the ongoing business of such Subsidiaries, under the credit terms negotiated with the Bank (the “5xAPIA Facility”), subject to the terms and conditions set out below:</w:t>
      </w:r>
    </w:p>
    <w:p w14:paraId="4854593B" w14:textId="77777777" w:rsidR="000459A7" w:rsidRPr="000459A7" w:rsidRDefault="000459A7" w:rsidP="000459A7">
      <w:pPr>
        <w:widowControl/>
        <w:autoSpaceDE/>
        <w:autoSpaceDN/>
        <w:adjustRightInd/>
        <w:spacing w:line="294" w:lineRule="atLeast"/>
        <w:contextualSpacing/>
        <w:rPr>
          <w:rFonts w:ascii="Calibri" w:eastAsia="Calibri" w:hAnsi="Calibri" w:cs="Calibri"/>
          <w:b/>
          <w:bCs/>
        </w:rPr>
      </w:pPr>
    </w:p>
    <w:p w14:paraId="66F00F30" w14:textId="77777777" w:rsidR="000459A7" w:rsidRPr="000459A7" w:rsidRDefault="000459A7" w:rsidP="000459A7">
      <w:pPr>
        <w:numPr>
          <w:ilvl w:val="0"/>
          <w:numId w:val="11"/>
        </w:numPr>
        <w:adjustRightInd/>
        <w:spacing w:after="120" w:line="276" w:lineRule="auto"/>
        <w:ind w:left="993" w:hanging="414"/>
        <w:jc w:val="both"/>
        <w:rPr>
          <w:rFonts w:ascii="Calibri" w:eastAsia="Calibri" w:hAnsi="Calibri" w:cs="Calibri"/>
          <w:b/>
          <w:bCs/>
        </w:rPr>
      </w:pPr>
      <w:r w:rsidRPr="000459A7">
        <w:rPr>
          <w:rFonts w:ascii="Calibri" w:eastAsia="Calibri" w:hAnsi="Calibri" w:cs="Calibri"/>
          <w:b/>
          <w:bCs/>
        </w:rPr>
        <w:t>For the purpose of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22838DB7"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FGCR Guarantee to guarantee 80% of the amount of the 5xAPIA Facility;</w:t>
      </w:r>
    </w:p>
    <w:p w14:paraId="2BE060D3"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59EF5318"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The General Manager of the Company in office at the date of this resolution, namely Mr. Zăgan Liviu-Gabriel, will conclude, as guarantor (the “Guarantor”) the surety agreement(s) with Banca Transilvania S.A. (the “Guaranteed Lender”), the Rural Credit Guarantee Fund as co-creditor (the “Guaranteed Co-creditor” or the “Fund”) and the Subsidiaries, whereby the Guarantor shall constitute and maintain a personal guarantee in favour of the Guaranteed Lender and the Guaranteed Co-creditor, under the terms and conditions of the surety agreement(s) to be entered into for this purpose. In the event that Mr. Zăgan Liviu-Gabriel ceases to hold office as a member of the Board of Directors or General Manager of the Company, the Company is obliged to determine a new member of the Board of Directors or a new General Manager to assume the capacity of guarantor in favour of the Guaranted Lender and the Guaranteed Co-creditor. In this regard, the surety agreement entered into by Mr. Zăgan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Zăgan Liviu-Gabriel as guarantor, in force from the date on which the termination of the office of member of the Board of Directors or General Manager of Mr. Zăgan Liviu-Gabriel becomes effective;</w:t>
      </w:r>
    </w:p>
    <w:p w14:paraId="4D53B4C2" w14:textId="77777777" w:rsidR="000459A7" w:rsidRPr="000459A7" w:rsidRDefault="000459A7" w:rsidP="000459A7">
      <w:pPr>
        <w:widowControl/>
        <w:autoSpaceDE/>
        <w:autoSpaceDN/>
        <w:adjustRightInd/>
        <w:spacing w:line="294" w:lineRule="atLeast"/>
        <w:ind w:left="1418"/>
        <w:contextualSpacing/>
        <w:rPr>
          <w:rFonts w:ascii="Calibri" w:eastAsia="Calibri" w:hAnsi="Calibri" w:cs="Calibri"/>
          <w:b/>
          <w:bCs/>
        </w:rPr>
      </w:pPr>
    </w:p>
    <w:p w14:paraId="1F4A45AE"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Facility;</w:t>
      </w:r>
    </w:p>
    <w:p w14:paraId="7F5FD775" w14:textId="77777777" w:rsidR="000459A7" w:rsidRPr="000459A7" w:rsidRDefault="000459A7" w:rsidP="000459A7">
      <w:pPr>
        <w:widowControl/>
        <w:autoSpaceDE/>
        <w:autoSpaceDN/>
        <w:adjustRightInd/>
        <w:spacing w:line="294" w:lineRule="atLeast"/>
        <w:ind w:left="1418" w:hanging="566"/>
        <w:contextualSpacing/>
        <w:jc w:val="both"/>
        <w:rPr>
          <w:rFonts w:ascii="Calibri" w:eastAsia="Calibri" w:hAnsi="Calibri" w:cs="Calibri"/>
          <w:b/>
          <w:bCs/>
        </w:rPr>
      </w:pPr>
    </w:p>
    <w:p w14:paraId="1AD9AD00"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represented by the subsidies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2BCE9877"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2FBBE14D"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resulting from the APIA statement related to the current campaign and on the amounts collected in the guarantee account (relating to present and future subsidies to be received from APIA), to the value of the statement for the current year, in which the Fund will act as co-creditor. The mortgage contract will be registered with RNPM prior to the use of the 5xAPIA Facility;</w:t>
      </w:r>
    </w:p>
    <w:p w14:paraId="55BF192B" w14:textId="77777777" w:rsidR="000459A7" w:rsidRPr="000459A7" w:rsidRDefault="000459A7" w:rsidP="000459A7">
      <w:pPr>
        <w:widowControl/>
        <w:autoSpaceDE/>
        <w:autoSpaceDN/>
        <w:adjustRightInd/>
        <w:spacing w:line="294" w:lineRule="atLeast"/>
        <w:ind w:left="720" w:hanging="566"/>
        <w:contextualSpacing/>
        <w:jc w:val="both"/>
        <w:rPr>
          <w:rFonts w:ascii="Calibri" w:eastAsia="Calibri" w:hAnsi="Calibri" w:cs="Calibri"/>
          <w:b/>
          <w:bCs/>
        </w:rPr>
      </w:pPr>
    </w:p>
    <w:p w14:paraId="1F356A6E"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“Mandate”) are: (i) Zăgan Liviu-Gabriel, a Romanian citizen identified with identity card, series RD, number 834654, domiciled at 11 Iunie Street, no. 5, District 4, Bucharest, issued on 21.03.2017 by SPCEP S4 compart. no. 1, valid until 04.07.2027, PIN 1770704421515 and (ii) Iulian-Florentin Cîrciumaru, a Romanian citizen identified with identity card, series TR, number 773216, domiciled in 2 Fdt. Piața Armelor, Roșiori de Vede, Teleorman county, issued on 10.03.2022 by SPCLEP Roșiori de Vede, valid until 03.08.2031, PIN 1830328340928 (each an “Authorised Person” and collectively the “Authorised Persons”).</w:t>
      </w:r>
    </w:p>
    <w:p w14:paraId="5F40AF56"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In order to fulfil the Mandate, each Authorised Person may negotiate and sign on behalf of any relevant Subsidiary, including but not limited to:</w:t>
      </w:r>
    </w:p>
    <w:p w14:paraId="4F936AFB"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the credit agreement with Banca Transilvania S.A. and any addendum thereto modifying the legal credit relationship (including increasing by a maximum of 80% / decreasing the amount of the credit, modifying the duration of the credit / structure of the guarantees / financial costs);</w:t>
      </w:r>
    </w:p>
    <w:p w14:paraId="657BF8DF"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and all movable mortgage agreements, relating to movable assets owned by the relevant Subsidiary (including but not limited to accounts, receivables, stocks, equipment) and any addenda thereto;</w:t>
      </w:r>
    </w:p>
    <w:p w14:paraId="60076D1C"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promissory notes issued by the relevant Subsidiary;</w:t>
      </w:r>
    </w:p>
    <w:p w14:paraId="17F1ACCE"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necessary documents, statements, applications (including drawdown/prepayment requests etc.), forms etc.</w:t>
      </w:r>
    </w:p>
    <w:p w14:paraId="2D7F285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has acknowledged and accepts Banca Transilvania S.A.'s general credit terms and conditions.</w:t>
      </w:r>
    </w:p>
    <w:p w14:paraId="023A57DD"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is in a stable financial situation, is not the subject of any bankruptcy, liquidation and/or judicial reorganisation proceedings and is not aware of any reason that could trigger such proceedings or affect its ability to repay the loans contracted with Banca Transilvania S.A..</w:t>
      </w:r>
    </w:p>
    <w:p w14:paraId="134961C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The empowerment of the General Manager of the Company, Mr. Zăgan Liviu-Gabriel and of the Chairman of the Board of Directors, Mr. Iulian-Florentin Cîrciumaru, individually and with full powers to attend, vote and sign the </w:t>
      </w:r>
      <w:r w:rsidRPr="000459A7">
        <w:rPr>
          <w:rFonts w:ascii="Calibri" w:eastAsia="Calibri" w:hAnsi="Calibri" w:cs="Calibri"/>
          <w:b/>
          <w:bCs/>
        </w:rPr>
        <w:lastRenderedPageBreak/>
        <w:t>resolutions of the general meetings of the shareholders of each of the Subsidiaries, according to the above approvals.</w:t>
      </w:r>
    </w:p>
    <w:p w14:paraId="43B99B48" w14:textId="77777777" w:rsidR="003D19EA" w:rsidRPr="000459A7" w:rsidRDefault="003D19EA"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p>
    <w:p w14:paraId="755D6859" w14:textId="4719CC26" w:rsidR="00D37FE1" w:rsidRPr="000459A7" w:rsidRDefault="00D37FE1"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Board of Directors of the Company  </w:t>
      </w:r>
    </w:p>
    <w:p w14:paraId="6108A4F1" w14:textId="607A8749" w:rsidR="00D37FE1" w:rsidRPr="000459A7" w:rsidRDefault="00D37FE1" w:rsidP="00E46229">
      <w:pPr>
        <w:pStyle w:val="ListParagraph"/>
        <w:widowControl w:val="0"/>
        <w:spacing w:before="12" w:after="12" w:line="294" w:lineRule="atLeast"/>
        <w:ind w:left="702"/>
        <w:contextualSpacing w:val="0"/>
        <w:jc w:val="both"/>
        <w:rPr>
          <w:rFonts w:ascii="Calibri" w:hAnsi="Calibri" w:cs="Calibri"/>
          <w:sz w:val="20"/>
          <w:szCs w:val="20"/>
          <w:lang w:val="ro-RO"/>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23AF369C" w14:textId="77777777" w:rsidR="00D37FE1" w:rsidRPr="000459A7" w:rsidRDefault="00D37FE1" w:rsidP="00D37FE1">
      <w:pPr>
        <w:spacing w:before="12" w:after="12" w:line="294" w:lineRule="atLeast"/>
        <w:jc w:val="both"/>
        <w:rPr>
          <w:rFonts w:ascii="Calibri" w:hAnsi="Calibri" w:cs="Calibri"/>
          <w:b/>
          <w:bCs/>
          <w:lang w:val="en-GB"/>
        </w:rPr>
      </w:pPr>
    </w:p>
    <w:p w14:paraId="137B1F3A" w14:textId="2D379986" w:rsidR="003D19EA"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18F7B718"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and ratification of (i)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“Assigned Debtor”, collectively the “Assigned Debtors”)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7C16663B" w14:textId="77777777" w:rsidR="00F842B6" w:rsidRDefault="00F842B6"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3B8F6171" w14:textId="34E6249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31FE1D5F"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the removal of Article 13 of the Articles of Association (with the consequent renumbering of the following articles of the Articles of Association).</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40E1C193"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the date of 17 May 2024 as “</w:t>
      </w:r>
      <w:r w:rsidR="000459A7" w:rsidRPr="000459A7">
        <w:rPr>
          <w:rFonts w:asciiTheme="minorHAnsi" w:hAnsiTheme="minorHAnsi" w:cstheme="minorHAnsi"/>
          <w:b/>
          <w:bCs/>
          <w:i/>
          <w:iCs/>
          <w:sz w:val="20"/>
          <w:szCs w:val="20"/>
        </w:rPr>
        <w:t>registration date</w:t>
      </w:r>
      <w:r w:rsidR="000459A7" w:rsidRPr="000459A7">
        <w:rPr>
          <w:rFonts w:asciiTheme="minorHAnsi" w:hAnsiTheme="minorHAnsi" w:cstheme="minorHAnsi"/>
          <w:b/>
          <w:bCs/>
          <w:sz w:val="20"/>
          <w:szCs w:val="20"/>
        </w:rPr>
        <w:t>” for the identification of the shareholders in respect to whom the resolutions adopted by the EGMS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3F9AA58F"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of the date of 16 May 2024 as “</w:t>
      </w:r>
      <w:r w:rsidR="000459A7" w:rsidRPr="000459A7">
        <w:rPr>
          <w:rFonts w:asciiTheme="minorHAnsi" w:hAnsiTheme="minorHAnsi" w:cstheme="minorHAnsi"/>
          <w:b/>
          <w:bCs/>
          <w:i/>
          <w:iCs/>
          <w:sz w:val="20"/>
          <w:szCs w:val="20"/>
        </w:rPr>
        <w:t>ex-date</w:t>
      </w:r>
      <w:r w:rsidR="000459A7" w:rsidRPr="000459A7">
        <w:rPr>
          <w:rFonts w:asciiTheme="minorHAnsi" w:hAnsiTheme="minorHAnsi" w:cstheme="minorHAnsi"/>
          <w:b/>
          <w:bCs/>
          <w:sz w:val="20"/>
          <w:szCs w:val="20"/>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5D679E80"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 xml:space="preserve">of the empowerment of the Board of Directors and/or any member of the Board of Directors and/or the General Manager of the Company, acting jointly or individually, in order to fulfil any formalities and procedures in order to carry out </w:t>
      </w:r>
      <w:r w:rsidR="000459A7" w:rsidRPr="000459A7">
        <w:rPr>
          <w:rFonts w:asciiTheme="minorHAnsi" w:hAnsiTheme="minorHAnsi" w:cstheme="minorHAnsi"/>
          <w:b/>
          <w:bCs/>
          <w:sz w:val="20"/>
          <w:szCs w:val="20"/>
        </w:rPr>
        <w:lastRenderedPageBreak/>
        <w:t>the EGMS resolution and to sign all the necessary documents (including the EGMS resolution and the updated articles of association and any documents in relation to the Trade Registry Office of the Bucharest Court, the Official Gazette, the Financial Supervisory Authority, the Bucharest Stock Exchange, and any other institutions), with the possibility of sub-delegating these duties to one or more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7BB5" w14:textId="77777777" w:rsidR="00F83016" w:rsidRDefault="00F83016" w:rsidP="00BB40BB">
      <w:r>
        <w:separator/>
      </w:r>
    </w:p>
  </w:endnote>
  <w:endnote w:type="continuationSeparator" w:id="0">
    <w:p w14:paraId="1644DF24" w14:textId="77777777" w:rsidR="00F83016" w:rsidRDefault="00F83016"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85664C"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85664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88729B"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88729B"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88729B"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3D299A" w:rsidRPr="0088729B" w:rsidRDefault="00000000"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322C" w14:textId="77777777" w:rsidR="00F83016" w:rsidRDefault="00F83016" w:rsidP="00BB40BB">
      <w:r>
        <w:separator/>
      </w:r>
    </w:p>
  </w:footnote>
  <w:footnote w:type="continuationSeparator" w:id="0">
    <w:p w14:paraId="22601ED0" w14:textId="77777777" w:rsidR="00F83016" w:rsidRDefault="00F83016"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3D299A"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3D299A" w:rsidRPr="003D299A" w:rsidRDefault="00000000" w:rsidP="003D299A">
    <w:pPr>
      <w:pStyle w:val="Header"/>
      <w:jc w:val="right"/>
      <w:rPr>
        <w:rFonts w:ascii="Calibri Light" w:hAnsi="Calibri Light" w:cs="Calibri Light"/>
        <w:lang w:val="pl-PL"/>
      </w:rPr>
    </w:pPr>
  </w:p>
  <w:p w14:paraId="4E97B104" w14:textId="77777777" w:rsidR="003D299A" w:rsidRPr="003D299A" w:rsidRDefault="00000000" w:rsidP="003D299A">
    <w:pPr>
      <w:pStyle w:val="Header"/>
      <w:jc w:val="right"/>
      <w:rPr>
        <w:rFonts w:ascii="Calibri Light" w:hAnsi="Calibri Light" w:cs="Calibri Light"/>
        <w:lang w:val="pl-PL"/>
      </w:rPr>
    </w:pPr>
  </w:p>
  <w:p w14:paraId="2C6EB6B4" w14:textId="77777777" w:rsidR="003D299A" w:rsidRDefault="00000000">
    <w:pPr>
      <w:pStyle w:val="Header"/>
      <w:rPr>
        <w:rFonts w:ascii="Calibri Light" w:hAnsi="Calibri Light" w:cs="Calibri Light"/>
        <w:lang w:val="pl-PL"/>
      </w:rPr>
    </w:pPr>
  </w:p>
  <w:p w14:paraId="2E63DF79" w14:textId="77777777" w:rsidR="003D299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7" w15:restartNumberingAfterBreak="0">
    <w:nsid w:val="54127497"/>
    <w:multiLevelType w:val="hybridMultilevel"/>
    <w:tmpl w:val="1550DCE8"/>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8"/>
  </w:num>
  <w:num w:numId="2" w16cid:durableId="1614048651">
    <w:abstractNumId w:val="1"/>
  </w:num>
  <w:num w:numId="3" w16cid:durableId="309093982">
    <w:abstractNumId w:val="10"/>
  </w:num>
  <w:num w:numId="4" w16cid:durableId="901139951">
    <w:abstractNumId w:val="2"/>
  </w:num>
  <w:num w:numId="5" w16cid:durableId="1868985502">
    <w:abstractNumId w:val="0"/>
  </w:num>
  <w:num w:numId="6" w16cid:durableId="842013795">
    <w:abstractNumId w:val="11"/>
  </w:num>
  <w:num w:numId="7" w16cid:durableId="1441758378">
    <w:abstractNumId w:val="4"/>
  </w:num>
  <w:num w:numId="8" w16cid:durableId="97453591">
    <w:abstractNumId w:val="7"/>
  </w:num>
  <w:num w:numId="9" w16cid:durableId="2092044129">
    <w:abstractNumId w:val="3"/>
  </w:num>
  <w:num w:numId="10" w16cid:durableId="349796930">
    <w:abstractNumId w:val="6"/>
  </w:num>
  <w:num w:numId="11" w16cid:durableId="211812782">
    <w:abstractNumId w:val="5"/>
  </w:num>
  <w:num w:numId="12" w16cid:durableId="823012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459A7"/>
    <w:rsid w:val="00087B0F"/>
    <w:rsid w:val="000C017F"/>
    <w:rsid w:val="000C6D42"/>
    <w:rsid w:val="00174A8D"/>
    <w:rsid w:val="001C1072"/>
    <w:rsid w:val="00207302"/>
    <w:rsid w:val="00220B34"/>
    <w:rsid w:val="00276DF1"/>
    <w:rsid w:val="00295B27"/>
    <w:rsid w:val="00332205"/>
    <w:rsid w:val="00353166"/>
    <w:rsid w:val="00367135"/>
    <w:rsid w:val="003856EA"/>
    <w:rsid w:val="003D19EA"/>
    <w:rsid w:val="00421918"/>
    <w:rsid w:val="004867BA"/>
    <w:rsid w:val="004B32C0"/>
    <w:rsid w:val="00511116"/>
    <w:rsid w:val="00517299"/>
    <w:rsid w:val="00544F92"/>
    <w:rsid w:val="005D6674"/>
    <w:rsid w:val="00634161"/>
    <w:rsid w:val="00682074"/>
    <w:rsid w:val="006E2E9D"/>
    <w:rsid w:val="007D6C4C"/>
    <w:rsid w:val="00830210"/>
    <w:rsid w:val="008D65F6"/>
    <w:rsid w:val="00A10EEE"/>
    <w:rsid w:val="00B4340C"/>
    <w:rsid w:val="00B67B82"/>
    <w:rsid w:val="00BB40BB"/>
    <w:rsid w:val="00C5109A"/>
    <w:rsid w:val="00CE2BB8"/>
    <w:rsid w:val="00D37FE1"/>
    <w:rsid w:val="00D650E7"/>
    <w:rsid w:val="00DF1865"/>
    <w:rsid w:val="00E00D67"/>
    <w:rsid w:val="00E46229"/>
    <w:rsid w:val="00E638E4"/>
    <w:rsid w:val="00E77A84"/>
    <w:rsid w:val="00EE15F3"/>
    <w:rsid w:val="00EF4CF3"/>
    <w:rsid w:val="00F47837"/>
    <w:rsid w:val="00F51D0E"/>
    <w:rsid w:val="00F57D0E"/>
    <w:rsid w:val="00F83016"/>
    <w:rsid w:val="00F842B6"/>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2275</Words>
  <Characters>12968</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17</cp:revision>
  <dcterms:created xsi:type="dcterms:W3CDTF">2023-04-11T12:44:00Z</dcterms:created>
  <dcterms:modified xsi:type="dcterms:W3CDTF">2024-03-28T13:35:00Z</dcterms:modified>
</cp:coreProperties>
</file>