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665A7" w:rsidRPr="00FA2D06" w14:paraId="1E6D867A" w14:textId="77777777" w:rsidTr="006665A7">
        <w:tc>
          <w:tcPr>
            <w:tcW w:w="4803" w:type="dxa"/>
          </w:tcPr>
          <w:p w14:paraId="0E45BF8A" w14:textId="783EBD4A" w:rsidR="006665A7" w:rsidRPr="006665A7" w:rsidRDefault="006665A7" w:rsidP="006665A7">
            <w:pPr>
              <w:pStyle w:val="BodyText"/>
              <w:spacing w:before="69" w:afterLines="140" w:after="336" w:line="280" w:lineRule="exact"/>
              <w:jc w:val="center"/>
              <w:rPr>
                <w:b/>
                <w:bCs/>
              </w:rPr>
            </w:pPr>
            <w:r w:rsidRPr="006665A7">
              <w:rPr>
                <w:b/>
                <w:bCs/>
              </w:rPr>
              <w:t xml:space="preserve">Note justificative cu privire la punctele de pe ordinea de zi Adunării Generale Ordinare a Acționarilor </w:t>
            </w:r>
            <w:r w:rsidR="00527501">
              <w:rPr>
                <w:b/>
                <w:bCs/>
              </w:rPr>
              <w:t xml:space="preserve">convocată în </w:t>
            </w:r>
            <w:r w:rsidRPr="006665A7">
              <w:rPr>
                <w:b/>
                <w:bCs/>
              </w:rPr>
              <w:t xml:space="preserve">data de </w:t>
            </w:r>
            <w:r w:rsidR="00527501">
              <w:rPr>
                <w:b/>
                <w:bCs/>
              </w:rPr>
              <w:t>15/16 decembrie</w:t>
            </w:r>
            <w:r w:rsidRPr="006665A7">
              <w:rPr>
                <w:b/>
                <w:bCs/>
                <w:lang w:val="fr-BE"/>
              </w:rPr>
              <w:t xml:space="preserve"> 2022</w:t>
            </w:r>
          </w:p>
        </w:tc>
        <w:tc>
          <w:tcPr>
            <w:tcW w:w="4804" w:type="dxa"/>
          </w:tcPr>
          <w:p w14:paraId="24D1C489" w14:textId="19F0C2C9" w:rsidR="006665A7" w:rsidRPr="006665A7" w:rsidRDefault="006665A7" w:rsidP="006665A7">
            <w:pPr>
              <w:pStyle w:val="BodyText"/>
              <w:spacing w:before="69" w:afterLines="140" w:after="336" w:line="280" w:lineRule="exact"/>
              <w:jc w:val="center"/>
              <w:rPr>
                <w:b/>
                <w:bCs/>
                <w:lang w:val="en-GB"/>
              </w:rPr>
            </w:pPr>
            <w:r w:rsidRPr="006665A7">
              <w:rPr>
                <w:b/>
                <w:bCs/>
                <w:lang w:val="en-GB"/>
              </w:rPr>
              <w:t xml:space="preserve">Supporting notes regarding items on the agenda of the Ordinary General Meeting of Shareholders </w:t>
            </w:r>
            <w:r w:rsidR="00527501">
              <w:rPr>
                <w:b/>
                <w:bCs/>
                <w:lang w:val="en-GB"/>
              </w:rPr>
              <w:t>convened on 15/16 December</w:t>
            </w:r>
            <w:r w:rsidRPr="006665A7">
              <w:rPr>
                <w:b/>
                <w:bCs/>
                <w:lang w:val="en-GB"/>
              </w:rPr>
              <w:t xml:space="preserve"> 2022</w:t>
            </w:r>
          </w:p>
        </w:tc>
      </w:tr>
      <w:tr w:rsidR="006665A7" w:rsidRPr="00FA2D06" w14:paraId="7CBAB465" w14:textId="77777777" w:rsidTr="00D232F2">
        <w:trPr>
          <w:trHeight w:val="3441"/>
        </w:trPr>
        <w:tc>
          <w:tcPr>
            <w:tcW w:w="4803" w:type="dxa"/>
          </w:tcPr>
          <w:p w14:paraId="25F0192B" w14:textId="0301EA12" w:rsidR="006665A7" w:rsidRPr="006665A7" w:rsidRDefault="00D232F2" w:rsidP="00D232F2">
            <w:pPr>
              <w:pStyle w:val="BodyText"/>
              <w:spacing w:before="69" w:afterLines="140" w:after="336" w:line="280" w:lineRule="exact"/>
              <w:jc w:val="both"/>
              <w:rPr>
                <w:b/>
                <w:bCs/>
              </w:rPr>
            </w:pPr>
            <w:r w:rsidRPr="00FA2D06">
              <w:rPr>
                <w:b/>
              </w:rPr>
              <w:t>HOLDE</w:t>
            </w:r>
            <w:r w:rsidRPr="00FA2D06">
              <w:rPr>
                <w:b/>
                <w:spacing w:val="-7"/>
              </w:rPr>
              <w:t xml:space="preserve"> </w:t>
            </w:r>
            <w:r w:rsidRPr="00FA2D06">
              <w:rPr>
                <w:b/>
              </w:rPr>
              <w:t>AGRI</w:t>
            </w:r>
            <w:r w:rsidRPr="00FA2D06">
              <w:rPr>
                <w:b/>
                <w:spacing w:val="-8"/>
              </w:rPr>
              <w:t xml:space="preserve"> </w:t>
            </w:r>
            <w:r w:rsidRPr="00FA2D06">
              <w:rPr>
                <w:b/>
              </w:rPr>
              <w:t>INVEST</w:t>
            </w:r>
            <w:r w:rsidRPr="00FA2D06">
              <w:rPr>
                <w:b/>
                <w:spacing w:val="-8"/>
              </w:rPr>
              <w:t xml:space="preserve"> </w:t>
            </w:r>
            <w:r w:rsidRPr="00FA2D06">
              <w:rPr>
                <w:b/>
              </w:rPr>
              <w:t>S.A.</w:t>
            </w:r>
            <w:r w:rsidRPr="00FA2D06">
              <w:t>,</w:t>
            </w:r>
            <w:r w:rsidRPr="00FA2D06">
              <w:rPr>
                <w:spacing w:val="-9"/>
              </w:rPr>
              <w:t xml:space="preserve"> </w:t>
            </w:r>
            <w:r w:rsidRPr="00FA2D06">
              <w:t>o</w:t>
            </w:r>
            <w:r w:rsidRPr="00FA2D06">
              <w:rPr>
                <w:spacing w:val="-9"/>
              </w:rPr>
              <w:t xml:space="preserve"> </w:t>
            </w:r>
            <w:r w:rsidRPr="00FA2D06">
              <w:t>societate</w:t>
            </w:r>
            <w:r w:rsidRPr="00FA2D06">
              <w:rPr>
                <w:spacing w:val="-8"/>
              </w:rPr>
              <w:t xml:space="preserve"> </w:t>
            </w:r>
            <w:r w:rsidRPr="00FA2D06">
              <w:t>pe</w:t>
            </w:r>
            <w:r w:rsidRPr="00FA2D06">
              <w:rPr>
                <w:spacing w:val="-8"/>
              </w:rPr>
              <w:t xml:space="preserve"> </w:t>
            </w:r>
            <w:r w:rsidRPr="00FA2D06">
              <w:t>acțiuni,</w:t>
            </w:r>
            <w:r w:rsidRPr="00FA2D06">
              <w:rPr>
                <w:spacing w:val="-9"/>
              </w:rPr>
              <w:t xml:space="preserve"> </w:t>
            </w:r>
            <w:r w:rsidRPr="00FA2D06">
              <w:t>organizată</w:t>
            </w:r>
            <w:r w:rsidRPr="00FA2D06">
              <w:rPr>
                <w:spacing w:val="-10"/>
              </w:rPr>
              <w:t xml:space="preserve"> </w:t>
            </w:r>
            <w:r w:rsidRPr="00FA2D06">
              <w:t>și</w:t>
            </w:r>
            <w:r w:rsidRPr="00FA2D06">
              <w:rPr>
                <w:spacing w:val="-10"/>
              </w:rPr>
              <w:t xml:space="preserve"> </w:t>
            </w:r>
            <w:r w:rsidRPr="00FA2D06">
              <w:t>care</w:t>
            </w:r>
            <w:r w:rsidRPr="00FA2D06">
              <w:rPr>
                <w:spacing w:val="-8"/>
              </w:rPr>
              <w:t xml:space="preserve"> </w:t>
            </w:r>
            <w:r w:rsidRPr="00FA2D06">
              <w:t>funcționează</w:t>
            </w:r>
            <w:r w:rsidRPr="00FA2D06">
              <w:rPr>
                <w:spacing w:val="-10"/>
              </w:rPr>
              <w:t xml:space="preserve"> </w:t>
            </w:r>
            <w:r w:rsidRPr="00FA2D06">
              <w:t xml:space="preserve">conform legilor din România, având sediul social în </w:t>
            </w:r>
            <w:proofErr w:type="spellStart"/>
            <w:r w:rsidRPr="00FA2D06">
              <w:t>Intr</w:t>
            </w:r>
            <w:proofErr w:type="spellEnd"/>
            <w:r w:rsidRPr="00FA2D06">
              <w:t xml:space="preserve">. </w:t>
            </w:r>
            <w:proofErr w:type="spellStart"/>
            <w:r w:rsidRPr="00FA2D06">
              <w:t>Nestorei</w:t>
            </w:r>
            <w:proofErr w:type="spellEnd"/>
            <w:r w:rsidRPr="00FA2D06">
              <w:t xml:space="preserve"> nr. 1, Corp B, Etaj 10, Sector 4, București, România, înregistrată</w:t>
            </w:r>
            <w:r w:rsidRPr="00FA2D06">
              <w:rPr>
                <w:spacing w:val="-12"/>
              </w:rPr>
              <w:t xml:space="preserve"> </w:t>
            </w:r>
            <w:r w:rsidRPr="00FA2D06">
              <w:t>la</w:t>
            </w:r>
            <w:r w:rsidRPr="00FA2D06">
              <w:rPr>
                <w:spacing w:val="-11"/>
              </w:rPr>
              <w:t xml:space="preserve"> </w:t>
            </w:r>
            <w:r w:rsidRPr="00FA2D06">
              <w:t>Registrul</w:t>
            </w:r>
            <w:r w:rsidRPr="00FA2D06">
              <w:rPr>
                <w:spacing w:val="-11"/>
              </w:rPr>
              <w:t xml:space="preserve"> </w:t>
            </w:r>
            <w:r w:rsidRPr="00FA2D06">
              <w:t>Comerțului</w:t>
            </w:r>
            <w:r w:rsidRPr="00FA2D06">
              <w:rPr>
                <w:spacing w:val="-9"/>
              </w:rPr>
              <w:t xml:space="preserve"> </w:t>
            </w:r>
            <w:r w:rsidRPr="00FA2D06">
              <w:t>sub</w:t>
            </w:r>
            <w:r w:rsidRPr="00FA2D06">
              <w:rPr>
                <w:spacing w:val="-11"/>
              </w:rPr>
              <w:t xml:space="preserve"> </w:t>
            </w:r>
            <w:r w:rsidRPr="00FA2D06">
              <w:t>nr.</w:t>
            </w:r>
            <w:r w:rsidRPr="00FA2D06">
              <w:rPr>
                <w:spacing w:val="-7"/>
              </w:rPr>
              <w:t xml:space="preserve"> </w:t>
            </w:r>
            <w:r w:rsidRPr="00FA2D06">
              <w:t>J40/9208/2018,</w:t>
            </w:r>
            <w:r w:rsidRPr="00FA2D06">
              <w:rPr>
                <w:spacing w:val="-12"/>
              </w:rPr>
              <w:t xml:space="preserve"> </w:t>
            </w:r>
            <w:r w:rsidRPr="00FA2D06">
              <w:t>Identificator</w:t>
            </w:r>
            <w:r w:rsidRPr="00FA2D06">
              <w:rPr>
                <w:spacing w:val="-11"/>
              </w:rPr>
              <w:t xml:space="preserve"> </w:t>
            </w:r>
            <w:r w:rsidRPr="00FA2D06">
              <w:t>Unic</w:t>
            </w:r>
            <w:r w:rsidRPr="00FA2D06">
              <w:rPr>
                <w:spacing w:val="-11"/>
              </w:rPr>
              <w:t xml:space="preserve"> </w:t>
            </w:r>
            <w:r w:rsidRPr="00FA2D06">
              <w:t>la</w:t>
            </w:r>
            <w:r w:rsidRPr="00FA2D06">
              <w:rPr>
                <w:spacing w:val="-12"/>
              </w:rPr>
              <w:t xml:space="preserve"> </w:t>
            </w:r>
            <w:r w:rsidRPr="00FA2D06">
              <w:t>Nivel</w:t>
            </w:r>
            <w:r w:rsidRPr="00FA2D06">
              <w:rPr>
                <w:spacing w:val="-7"/>
              </w:rPr>
              <w:t xml:space="preserve"> </w:t>
            </w:r>
            <w:r w:rsidRPr="00FA2D06">
              <w:t>European</w:t>
            </w:r>
            <w:r w:rsidRPr="00FA2D06">
              <w:rPr>
                <w:spacing w:val="-12"/>
              </w:rPr>
              <w:t xml:space="preserve"> </w:t>
            </w:r>
            <w:r w:rsidRPr="00FA2D06">
              <w:t>(EUID):</w:t>
            </w:r>
            <w:r w:rsidRPr="00FA2D06">
              <w:rPr>
                <w:spacing w:val="-10"/>
              </w:rPr>
              <w:t xml:space="preserve"> </w:t>
            </w:r>
            <w:r w:rsidRPr="00FA2D06">
              <w:t xml:space="preserve">ROONRC. J40/9208/2018, având cod unic de înregistrare 39549730, având capital social subscris si vărsat </w:t>
            </w:r>
            <w:r w:rsidR="007D46EC">
              <w:t>î</w:t>
            </w:r>
            <w:r w:rsidRPr="00FA2D06">
              <w:t xml:space="preserve">n cuantum de </w:t>
            </w:r>
            <w:r w:rsidRPr="009D24C8">
              <w:t>97.977.589</w:t>
            </w:r>
            <w:r w:rsidRPr="009D24C8">
              <w:rPr>
                <w:rFonts w:ascii="Arial" w:hAnsi="Arial" w:cs="Arial"/>
              </w:rPr>
              <w:t xml:space="preserve"> </w:t>
            </w:r>
            <w:r w:rsidR="007D46EC">
              <w:t>RON</w:t>
            </w:r>
            <w:r w:rsidRPr="00FA2D06">
              <w:t>,</w:t>
            </w:r>
            <w:r w:rsidRPr="00FA2D06">
              <w:rPr>
                <w:spacing w:val="-11"/>
              </w:rPr>
              <w:t xml:space="preserve"> </w:t>
            </w:r>
            <w:r w:rsidRPr="00FA2D06">
              <w:t>divizat</w:t>
            </w:r>
            <w:r w:rsidRPr="00FA2D06">
              <w:rPr>
                <w:spacing w:val="-11"/>
              </w:rPr>
              <w:t xml:space="preserve"> </w:t>
            </w:r>
            <w:r w:rsidRPr="00FA2D06">
              <w:t>în</w:t>
            </w:r>
            <w:r w:rsidRPr="00FA2D06">
              <w:rPr>
                <w:spacing w:val="-12"/>
              </w:rPr>
              <w:t xml:space="preserve"> </w:t>
            </w:r>
            <w:r w:rsidRPr="009D24C8">
              <w:t>97.977.589</w:t>
            </w:r>
            <w:r w:rsidRPr="009D24C8">
              <w:rPr>
                <w:rFonts w:ascii="Arial" w:hAnsi="Arial" w:cs="Arial"/>
              </w:rPr>
              <w:t xml:space="preserve"> </w:t>
            </w:r>
            <w:r w:rsidRPr="00FA2D06">
              <w:t>acțiuni</w:t>
            </w:r>
            <w:r w:rsidRPr="00FA2D06">
              <w:rPr>
                <w:spacing w:val="-12"/>
              </w:rPr>
              <w:t xml:space="preserve"> </w:t>
            </w:r>
            <w:r w:rsidRPr="00FA2D06">
              <w:t>nominative,</w:t>
            </w:r>
            <w:r w:rsidRPr="00FA2D06">
              <w:rPr>
                <w:spacing w:val="-11"/>
              </w:rPr>
              <w:t xml:space="preserve"> </w:t>
            </w:r>
            <w:r w:rsidRPr="00FA2D06">
              <w:t>din</w:t>
            </w:r>
            <w:r w:rsidRPr="00FA2D06">
              <w:rPr>
                <w:spacing w:val="-11"/>
              </w:rPr>
              <w:t xml:space="preserve"> </w:t>
            </w:r>
            <w:r w:rsidRPr="00FA2D06">
              <w:t>care</w:t>
            </w:r>
            <w:r w:rsidRPr="00FA2D06">
              <w:rPr>
                <w:spacing w:val="-11"/>
              </w:rPr>
              <w:t xml:space="preserve"> </w:t>
            </w:r>
            <w:r w:rsidRPr="009D24C8">
              <w:t xml:space="preserve">92.150.414 </w:t>
            </w:r>
            <w:r w:rsidRPr="00FA2D06">
              <w:t>acțiuni</w:t>
            </w:r>
            <w:r w:rsidRPr="00FA2D06">
              <w:rPr>
                <w:spacing w:val="-12"/>
              </w:rPr>
              <w:t xml:space="preserve"> </w:t>
            </w:r>
            <w:r w:rsidRPr="00FA2D06">
              <w:t>ordinare</w:t>
            </w:r>
            <w:r w:rsidRPr="00FA2D06">
              <w:rPr>
                <w:spacing w:val="-11"/>
              </w:rPr>
              <w:t xml:space="preserve"> </w:t>
            </w:r>
            <w:r w:rsidRPr="00FA2D06">
              <w:t>și</w:t>
            </w:r>
            <w:r w:rsidRPr="00FA2D06">
              <w:rPr>
                <w:spacing w:val="-11"/>
              </w:rPr>
              <w:t xml:space="preserve"> </w:t>
            </w:r>
            <w:r w:rsidRPr="00FA2D06">
              <w:t>5.827.175</w:t>
            </w:r>
            <w:r w:rsidRPr="00FA2D06">
              <w:rPr>
                <w:spacing w:val="-8"/>
              </w:rPr>
              <w:t xml:space="preserve"> </w:t>
            </w:r>
            <w:r w:rsidRPr="00FA2D06">
              <w:t xml:space="preserve">acțiuni preferențiale cu dividend preferențial fără drept de vot </w:t>
            </w:r>
            <w:bookmarkStart w:id="0" w:name="_Hlk113871212"/>
            <w:r w:rsidRPr="00FA2D06">
              <w:t>(„</w:t>
            </w:r>
            <w:r w:rsidRPr="00FA2D06">
              <w:rPr>
                <w:b/>
              </w:rPr>
              <w:t>Societatea</w:t>
            </w:r>
            <w:r w:rsidRPr="00FA2D06">
              <w:t>”</w:t>
            </w:r>
            <w:bookmarkEnd w:id="0"/>
            <w:r w:rsidRPr="00FA2D06">
              <w:t>)</w:t>
            </w:r>
            <w:r>
              <w:t>,</w:t>
            </w:r>
          </w:p>
        </w:tc>
        <w:tc>
          <w:tcPr>
            <w:tcW w:w="4804" w:type="dxa"/>
          </w:tcPr>
          <w:p w14:paraId="0702426B" w14:textId="6500DC1D" w:rsidR="006665A7" w:rsidRPr="00D232F2" w:rsidRDefault="00D232F2" w:rsidP="00D232F2">
            <w:pPr>
              <w:pStyle w:val="BodyText"/>
              <w:spacing w:before="69" w:afterLines="140" w:after="336" w:line="280" w:lineRule="exact"/>
              <w:jc w:val="both"/>
              <w:rPr>
                <w:b/>
                <w:bCs/>
              </w:rPr>
            </w:pPr>
            <w:r w:rsidRPr="006A0AFF">
              <w:rPr>
                <w:rFonts w:cstheme="minorHAnsi"/>
                <w:b/>
                <w:lang w:val="en-GB"/>
              </w:rPr>
              <w:t>HOLDE AGRI INVEST S.A.</w:t>
            </w:r>
            <w:r w:rsidRPr="006A0AFF">
              <w:rPr>
                <w:rFonts w:cstheme="minorHAnsi"/>
                <w:bCs/>
                <w:lang w:val="en-GB"/>
              </w:rPr>
              <w:t xml:space="preserve">, a joint-stock company, organized and operating under the Romanian laws, with its registered office at 1 Intr. </w:t>
            </w:r>
            <w:proofErr w:type="spellStart"/>
            <w:r w:rsidRPr="006A0AFF">
              <w:rPr>
                <w:rFonts w:cstheme="minorHAnsi"/>
                <w:bCs/>
                <w:lang w:val="en-GB"/>
              </w:rPr>
              <w:t>Nestorei</w:t>
            </w:r>
            <w:proofErr w:type="spellEnd"/>
            <w:r w:rsidRPr="006A0AFF">
              <w:rPr>
                <w:rFonts w:cstheme="minorHAnsi"/>
                <w:bCs/>
                <w:lang w:val="en-GB"/>
              </w:rPr>
              <w:t>, Building B, 10</w:t>
            </w:r>
            <w:r w:rsidRPr="006A0AFF">
              <w:rPr>
                <w:rFonts w:cstheme="minorHAnsi"/>
                <w:bCs/>
                <w:vertAlign w:val="superscript"/>
                <w:lang w:val="en-GB"/>
              </w:rPr>
              <w:t>th</w:t>
            </w:r>
            <w:r w:rsidRPr="006A0AFF">
              <w:rPr>
                <w:rFonts w:cstheme="minorHAnsi"/>
                <w:bCs/>
                <w:lang w:val="en-GB"/>
              </w:rPr>
              <w:t xml:space="preserve"> floor, District 4, Bucharest, Romania, registered with the Trade Registry under no. J40/9208/2018, European Unique Identifier (EUID): ROONRC. J40/9208/2018, sole registration code 39549730, with a subscribed and paid-up share capital of RON </w:t>
            </w:r>
            <w:r w:rsidRPr="006A0AFF">
              <w:rPr>
                <w:lang w:val="en-GB"/>
              </w:rPr>
              <w:t>97,977,589</w:t>
            </w:r>
            <w:r w:rsidRPr="006A0AFF">
              <w:rPr>
                <w:rFonts w:cstheme="minorHAnsi"/>
                <w:bCs/>
                <w:lang w:val="en-GB"/>
              </w:rPr>
              <w:t xml:space="preserve">, divided into </w:t>
            </w:r>
            <w:r w:rsidRPr="006A0AFF">
              <w:rPr>
                <w:lang w:val="en-GB"/>
              </w:rPr>
              <w:t>97,977,589</w:t>
            </w:r>
            <w:r w:rsidRPr="006A0AFF">
              <w:rPr>
                <w:rFonts w:ascii="Arial" w:hAnsi="Arial" w:cs="Arial"/>
                <w:lang w:val="en-GB"/>
              </w:rPr>
              <w:t xml:space="preserve"> </w:t>
            </w:r>
            <w:r w:rsidRPr="006A0AFF">
              <w:rPr>
                <w:rFonts w:cstheme="minorHAnsi"/>
                <w:bCs/>
                <w:lang w:val="en-GB"/>
              </w:rPr>
              <w:t xml:space="preserve">registered shares, of which </w:t>
            </w:r>
            <w:r w:rsidRPr="006A0AFF">
              <w:rPr>
                <w:lang w:val="en-GB"/>
              </w:rPr>
              <w:t xml:space="preserve">92,150,414 </w:t>
            </w:r>
            <w:r w:rsidRPr="006A0AFF">
              <w:rPr>
                <w:rFonts w:cstheme="minorHAnsi"/>
                <w:bCs/>
                <w:lang w:val="en-GB"/>
              </w:rPr>
              <w:t>ordinary shares and 5,827,175 preference shares with preferred dividend with no voting right (the “</w:t>
            </w:r>
            <w:r w:rsidRPr="006A0AFF">
              <w:rPr>
                <w:rFonts w:cstheme="minorHAnsi"/>
                <w:b/>
                <w:lang w:val="en-GB"/>
              </w:rPr>
              <w:t>Company</w:t>
            </w:r>
            <w:r w:rsidRPr="006A0AFF">
              <w:rPr>
                <w:rFonts w:cstheme="minorHAnsi"/>
                <w:bCs/>
                <w:lang w:val="en-GB"/>
              </w:rPr>
              <w:t>”)</w:t>
            </w:r>
            <w:r>
              <w:rPr>
                <w:rFonts w:cstheme="minorHAnsi"/>
                <w:bCs/>
                <w:lang w:val="en-GB"/>
              </w:rPr>
              <w:t>,</w:t>
            </w:r>
          </w:p>
        </w:tc>
      </w:tr>
      <w:tr w:rsidR="006665A7" w:rsidRPr="00FA2D06" w14:paraId="233B55D5" w14:textId="77777777" w:rsidTr="00D232F2">
        <w:trPr>
          <w:trHeight w:val="787"/>
        </w:trPr>
        <w:tc>
          <w:tcPr>
            <w:tcW w:w="4803" w:type="dxa"/>
          </w:tcPr>
          <w:p w14:paraId="45E32E11" w14:textId="7EF008DB" w:rsidR="006665A7" w:rsidRPr="00D232F2" w:rsidRDefault="00D232F2" w:rsidP="00D232F2">
            <w:pPr>
              <w:spacing w:after="140" w:line="280" w:lineRule="exact"/>
              <w:ind w:left="50" w:right="112"/>
              <w:jc w:val="both"/>
              <w:rPr>
                <w:sz w:val="20"/>
              </w:rPr>
            </w:pPr>
            <w:r w:rsidRPr="00D232F2">
              <w:rPr>
                <w:sz w:val="20"/>
              </w:rPr>
              <w:t>Având în vedere Adunarea Generală Ordinară a Acționarilor („</w:t>
            </w:r>
            <w:r w:rsidRPr="00D232F2">
              <w:rPr>
                <w:b/>
                <w:sz w:val="20"/>
              </w:rPr>
              <w:t>AGOA</w:t>
            </w:r>
            <w:r w:rsidRPr="00D232F2">
              <w:rPr>
                <w:sz w:val="20"/>
              </w:rPr>
              <w:t xml:space="preserve">”) Societății convocată pentru data de </w:t>
            </w:r>
            <w:r>
              <w:rPr>
                <w:sz w:val="20"/>
              </w:rPr>
              <w:t xml:space="preserve"> </w:t>
            </w:r>
            <w:r w:rsidR="00884F2F">
              <w:rPr>
                <w:sz w:val="20"/>
              </w:rPr>
              <w:t>15/16 decembrie</w:t>
            </w:r>
            <w:r w:rsidRPr="00D232F2">
              <w:rPr>
                <w:sz w:val="20"/>
              </w:rPr>
              <w:t xml:space="preserve"> 2022,</w:t>
            </w:r>
          </w:p>
        </w:tc>
        <w:tc>
          <w:tcPr>
            <w:tcW w:w="4804" w:type="dxa"/>
          </w:tcPr>
          <w:p w14:paraId="376B1CC4" w14:textId="2C6434BC" w:rsidR="006665A7" w:rsidRPr="00D232F2" w:rsidRDefault="00D232F2" w:rsidP="007D46EC">
            <w:pPr>
              <w:spacing w:after="140" w:line="280" w:lineRule="exact"/>
              <w:ind w:left="40" w:right="48"/>
              <w:jc w:val="both"/>
              <w:rPr>
                <w:sz w:val="20"/>
                <w:lang w:val="en-GB"/>
              </w:rPr>
            </w:pPr>
            <w:r w:rsidRPr="00D232F2">
              <w:rPr>
                <w:sz w:val="20"/>
                <w:lang w:val="en-GB"/>
              </w:rPr>
              <w:t>Considering the Ordinary General Meeting of Shareholders (the “</w:t>
            </w:r>
            <w:r w:rsidRPr="00D232F2">
              <w:rPr>
                <w:b/>
                <w:sz w:val="20"/>
                <w:lang w:val="en-GB"/>
              </w:rPr>
              <w:t>OGMS</w:t>
            </w:r>
            <w:r w:rsidRPr="00D232F2">
              <w:rPr>
                <w:sz w:val="20"/>
                <w:lang w:val="en-GB"/>
              </w:rPr>
              <w:t xml:space="preserve">”) of the Company to be held on </w:t>
            </w:r>
            <w:r w:rsidR="00884F2F">
              <w:rPr>
                <w:sz w:val="20"/>
                <w:lang w:val="en-GB"/>
              </w:rPr>
              <w:t>15/16 December</w:t>
            </w:r>
            <w:r w:rsidRPr="00D232F2">
              <w:rPr>
                <w:sz w:val="20"/>
                <w:lang w:val="en-GB"/>
              </w:rPr>
              <w:t xml:space="preserve"> 2022,</w:t>
            </w:r>
          </w:p>
        </w:tc>
      </w:tr>
      <w:tr w:rsidR="00D232F2" w:rsidRPr="00FA2D06" w14:paraId="1BD433A8" w14:textId="77777777" w:rsidTr="00D232F2">
        <w:trPr>
          <w:trHeight w:val="1099"/>
        </w:trPr>
        <w:tc>
          <w:tcPr>
            <w:tcW w:w="4803" w:type="dxa"/>
          </w:tcPr>
          <w:p w14:paraId="3658A2EC" w14:textId="33DCA876" w:rsidR="00D232F2" w:rsidRPr="00D232F2" w:rsidRDefault="00D232F2" w:rsidP="00D232F2">
            <w:pPr>
              <w:pStyle w:val="BodyText"/>
              <w:spacing w:before="69" w:afterLines="140" w:after="336" w:line="280" w:lineRule="exact"/>
              <w:jc w:val="both"/>
            </w:pPr>
            <w:r w:rsidRPr="00D232F2">
              <w:t>în conformitate cu prevederile Regulamentului Autorității de Supraveghere Financiară nr. 5/2018 privind emitenții de instrumente financiare și operațiuni de piață,</w:t>
            </w:r>
          </w:p>
        </w:tc>
        <w:tc>
          <w:tcPr>
            <w:tcW w:w="4804" w:type="dxa"/>
          </w:tcPr>
          <w:p w14:paraId="016F09B6" w14:textId="4A7DEE5D" w:rsidR="00D232F2" w:rsidRPr="00D232F2" w:rsidRDefault="00D232F2" w:rsidP="00D232F2">
            <w:pPr>
              <w:pStyle w:val="BodyText"/>
              <w:spacing w:before="69" w:afterLines="140" w:after="336" w:line="280" w:lineRule="exact"/>
              <w:jc w:val="both"/>
              <w:rPr>
                <w:lang w:val="en-GB"/>
              </w:rPr>
            </w:pPr>
            <w:r w:rsidRPr="00D232F2">
              <w:rPr>
                <w:lang w:val="en-GB"/>
              </w:rPr>
              <w:t>in accordance with the provisions of the Financial Supervisory Authority Regulation no. 5/2018 on issuers of financial instruments and market operations,</w:t>
            </w:r>
          </w:p>
        </w:tc>
      </w:tr>
      <w:tr w:rsidR="00D232F2" w:rsidRPr="00FA2D06" w14:paraId="69BE1282" w14:textId="77777777" w:rsidTr="006665A7">
        <w:tc>
          <w:tcPr>
            <w:tcW w:w="4803" w:type="dxa"/>
          </w:tcPr>
          <w:p w14:paraId="7C216F73" w14:textId="7CFDBEDE" w:rsidR="00D232F2" w:rsidRPr="00D232F2" w:rsidRDefault="00D232F2" w:rsidP="00D232F2">
            <w:pPr>
              <w:pStyle w:val="BodyText"/>
              <w:spacing w:before="69" w:afterLines="140" w:after="336" w:line="280" w:lineRule="exact"/>
              <w:jc w:val="both"/>
            </w:pPr>
            <w:r w:rsidRPr="00D232F2">
              <w:t>Societatea aduce la cunoștința acționarilor săi următoarele note justificative cu privire la următoarele punctele de pe ordinea de zi a AGOA:</w:t>
            </w:r>
          </w:p>
        </w:tc>
        <w:tc>
          <w:tcPr>
            <w:tcW w:w="4804" w:type="dxa"/>
          </w:tcPr>
          <w:p w14:paraId="29BD99B2" w14:textId="73836198" w:rsidR="00D232F2" w:rsidRPr="00D232F2" w:rsidRDefault="00D232F2" w:rsidP="00D232F2">
            <w:pPr>
              <w:pStyle w:val="BodyText"/>
              <w:spacing w:before="69" w:afterLines="140" w:after="336" w:line="280" w:lineRule="exact"/>
              <w:jc w:val="both"/>
              <w:rPr>
                <w:lang w:val="en-GB"/>
              </w:rPr>
            </w:pPr>
            <w:r w:rsidRPr="00D232F2">
              <w:rPr>
                <w:lang w:val="en-GB"/>
              </w:rPr>
              <w:t>The Company discloses to its shareholders the following supporting notes regarding the item on the agenda of the OGSM:</w:t>
            </w:r>
          </w:p>
        </w:tc>
      </w:tr>
      <w:tr w:rsidR="00D232F2" w:rsidRPr="00FA2D06" w14:paraId="17EDF4CA" w14:textId="77777777" w:rsidTr="006665A7">
        <w:tc>
          <w:tcPr>
            <w:tcW w:w="4803" w:type="dxa"/>
          </w:tcPr>
          <w:p w14:paraId="3BD9050E" w14:textId="599593BA" w:rsidR="00D232F2" w:rsidRPr="006665A7" w:rsidRDefault="00527501" w:rsidP="00527501">
            <w:pPr>
              <w:pStyle w:val="BodyText"/>
              <w:spacing w:before="69" w:afterLines="140" w:after="336" w:line="280" w:lineRule="exact"/>
              <w:jc w:val="both"/>
              <w:rPr>
                <w:b/>
                <w:bCs/>
              </w:rPr>
            </w:pPr>
            <w:r>
              <w:rPr>
                <w:b/>
                <w:bCs/>
              </w:rPr>
              <w:t>Punctul 1 de pe ordinea de zi:</w:t>
            </w:r>
          </w:p>
        </w:tc>
        <w:tc>
          <w:tcPr>
            <w:tcW w:w="4804" w:type="dxa"/>
          </w:tcPr>
          <w:p w14:paraId="0FA3BF48" w14:textId="0D36155F" w:rsidR="00D232F2" w:rsidRPr="00640842" w:rsidRDefault="00527501" w:rsidP="00527501">
            <w:pPr>
              <w:pStyle w:val="BodyText"/>
              <w:spacing w:before="69" w:afterLines="140" w:after="336" w:line="280" w:lineRule="exact"/>
              <w:jc w:val="both"/>
              <w:rPr>
                <w:b/>
                <w:bCs/>
                <w:lang w:val="en-GB"/>
              </w:rPr>
            </w:pPr>
            <w:r>
              <w:rPr>
                <w:b/>
                <w:bCs/>
                <w:lang w:val="en-GB"/>
              </w:rPr>
              <w:t>Item 1 on the agenda:</w:t>
            </w:r>
          </w:p>
        </w:tc>
      </w:tr>
      <w:tr w:rsidR="00640842" w:rsidRPr="00FA2D06" w14:paraId="121AEB07" w14:textId="77777777" w:rsidTr="006665A7">
        <w:tc>
          <w:tcPr>
            <w:tcW w:w="4803" w:type="dxa"/>
          </w:tcPr>
          <w:p w14:paraId="2DBE7FC5" w14:textId="46326616" w:rsidR="00640842" w:rsidRPr="00640842" w:rsidRDefault="00640842" w:rsidP="00640842">
            <w:pPr>
              <w:pStyle w:val="BodyText"/>
              <w:spacing w:before="69" w:afterLines="140" w:after="336" w:line="280" w:lineRule="exact"/>
              <w:jc w:val="both"/>
            </w:pPr>
            <w:r w:rsidRPr="00640842">
              <w:t xml:space="preserve">În contextul </w:t>
            </w:r>
            <w:r>
              <w:t xml:space="preserve">intenției de a înlocui structura actuală de administrare a Societății (administrată în prezent de Holde </w:t>
            </w:r>
            <w:proofErr w:type="spellStart"/>
            <w:r>
              <w:t>Agri</w:t>
            </w:r>
            <w:proofErr w:type="spellEnd"/>
            <w:r>
              <w:t xml:space="preserve"> Management S.R.L., în calitate de administrator unic) prin constituirea unui consiliu de administrație, format din cinci (5) membri care să asigure administrarea Societății, mandatul în curs al Administratorului Unic va înceta voluntar începând cu data adoptării hotărârii AGOA. Pentru mai multe detalii cu privire la condițiile încetării relațiilor contractuale dintre Societate și Administratorul Unic, vă rugăm să vă referiți la punctul 1 de pe ordinea de zi a Adunării Generale Extraordinare a Acționarilor  </w:t>
            </w:r>
            <w:r w:rsidRPr="00D232F2">
              <w:t>(„</w:t>
            </w:r>
            <w:r w:rsidRPr="00D232F2">
              <w:rPr>
                <w:b/>
              </w:rPr>
              <w:t>AG</w:t>
            </w:r>
            <w:r>
              <w:rPr>
                <w:b/>
              </w:rPr>
              <w:t>E</w:t>
            </w:r>
            <w:r w:rsidRPr="00D232F2">
              <w:rPr>
                <w:b/>
              </w:rPr>
              <w:t>A</w:t>
            </w:r>
            <w:r w:rsidRPr="00D232F2">
              <w:t>”)</w:t>
            </w:r>
            <w:r>
              <w:t>.</w:t>
            </w:r>
          </w:p>
        </w:tc>
        <w:tc>
          <w:tcPr>
            <w:tcW w:w="4804" w:type="dxa"/>
          </w:tcPr>
          <w:p w14:paraId="00387CDD" w14:textId="3443682A" w:rsidR="00640842" w:rsidRPr="00EF22B5" w:rsidRDefault="00EF22B5" w:rsidP="00EF22B5">
            <w:pPr>
              <w:pStyle w:val="BodyText"/>
              <w:spacing w:before="69" w:afterLines="140" w:after="336" w:line="280" w:lineRule="exact"/>
              <w:jc w:val="both"/>
              <w:rPr>
                <w:lang w:val="en-GB"/>
              </w:rPr>
            </w:pPr>
            <w:r w:rsidRPr="00EF22B5">
              <w:rPr>
                <w:lang w:val="en-GB"/>
              </w:rPr>
              <w:t xml:space="preserve">In the context of the intention to replace the current management structure of the Company (currently managed by </w:t>
            </w:r>
            <w:proofErr w:type="spellStart"/>
            <w:r w:rsidRPr="00EF22B5">
              <w:rPr>
                <w:lang w:val="en-GB"/>
              </w:rPr>
              <w:t>Holde</w:t>
            </w:r>
            <w:proofErr w:type="spellEnd"/>
            <w:r w:rsidRPr="00EF22B5">
              <w:rPr>
                <w:lang w:val="en-GB"/>
              </w:rPr>
              <w:t xml:space="preserve"> Agri Management S.R.L., as sole </w:t>
            </w:r>
            <w:r>
              <w:rPr>
                <w:lang w:val="en-GB"/>
              </w:rPr>
              <w:t>director</w:t>
            </w:r>
            <w:r w:rsidRPr="00EF22B5">
              <w:rPr>
                <w:lang w:val="en-GB"/>
              </w:rPr>
              <w:t xml:space="preserve">) by the establishment of a </w:t>
            </w:r>
            <w:r>
              <w:rPr>
                <w:lang w:val="en-GB"/>
              </w:rPr>
              <w:t>b</w:t>
            </w:r>
            <w:r w:rsidRPr="00EF22B5">
              <w:rPr>
                <w:lang w:val="en-GB"/>
              </w:rPr>
              <w:t xml:space="preserve">oard of </w:t>
            </w:r>
            <w:r>
              <w:rPr>
                <w:lang w:val="en-GB"/>
              </w:rPr>
              <w:t>d</w:t>
            </w:r>
            <w:r w:rsidRPr="00EF22B5">
              <w:rPr>
                <w:lang w:val="en-GB"/>
              </w:rPr>
              <w:t xml:space="preserve">irectors, consisting of five (5) members to manage the Company, the current mandate of the Sole Administrator will voluntarily terminate as from the date of the adoption of the </w:t>
            </w:r>
            <w:r>
              <w:rPr>
                <w:lang w:val="en-GB"/>
              </w:rPr>
              <w:t>O</w:t>
            </w:r>
            <w:r w:rsidRPr="00EF22B5">
              <w:rPr>
                <w:lang w:val="en-GB"/>
              </w:rPr>
              <w:t>G</w:t>
            </w:r>
            <w:r>
              <w:rPr>
                <w:lang w:val="en-GB"/>
              </w:rPr>
              <w:t>MS</w:t>
            </w:r>
            <w:r w:rsidRPr="00EF22B5">
              <w:rPr>
                <w:lang w:val="en-GB"/>
              </w:rPr>
              <w:t xml:space="preserve"> resolution. For more details on the conditions of termination of the contractual relationship between the Company and the Sole Director, please refer to item 1 on the agenda of the Extraordinary General Meeting of Shareholders ("</w:t>
            </w:r>
            <w:r w:rsidRPr="00EF22B5">
              <w:rPr>
                <w:b/>
                <w:bCs/>
                <w:lang w:val="en-GB"/>
              </w:rPr>
              <w:t>EG</w:t>
            </w:r>
            <w:r>
              <w:rPr>
                <w:b/>
                <w:bCs/>
                <w:lang w:val="en-GB"/>
              </w:rPr>
              <w:t>M</w:t>
            </w:r>
            <w:r w:rsidRPr="00EF22B5">
              <w:rPr>
                <w:b/>
                <w:bCs/>
                <w:lang w:val="en-GB"/>
              </w:rPr>
              <w:t>S</w:t>
            </w:r>
            <w:r w:rsidRPr="00EF22B5">
              <w:rPr>
                <w:lang w:val="en-GB"/>
              </w:rPr>
              <w:t>")</w:t>
            </w:r>
            <w:r>
              <w:rPr>
                <w:lang w:val="en-GB"/>
              </w:rPr>
              <w:t>.</w:t>
            </w:r>
          </w:p>
        </w:tc>
      </w:tr>
      <w:tr w:rsidR="00D232F2" w:rsidRPr="00FA2D06" w14:paraId="5A07754F" w14:textId="77777777" w:rsidTr="006665A7">
        <w:tc>
          <w:tcPr>
            <w:tcW w:w="4803" w:type="dxa"/>
          </w:tcPr>
          <w:p w14:paraId="1ED4B5BD" w14:textId="1EB2CFC7" w:rsidR="00D232F2" w:rsidRPr="006665A7" w:rsidRDefault="00527501" w:rsidP="00527501">
            <w:pPr>
              <w:pStyle w:val="BodyText"/>
              <w:spacing w:before="69" w:afterLines="140" w:after="336" w:line="280" w:lineRule="exact"/>
              <w:jc w:val="both"/>
              <w:rPr>
                <w:b/>
                <w:bCs/>
              </w:rPr>
            </w:pPr>
            <w:r>
              <w:rPr>
                <w:b/>
                <w:bCs/>
              </w:rPr>
              <w:lastRenderedPageBreak/>
              <w:t>Punctul 2 de pe ordinea de zi:</w:t>
            </w:r>
          </w:p>
        </w:tc>
        <w:tc>
          <w:tcPr>
            <w:tcW w:w="4804" w:type="dxa"/>
          </w:tcPr>
          <w:p w14:paraId="614CCAA8" w14:textId="1E4F0779" w:rsidR="00D232F2" w:rsidRPr="00640842" w:rsidRDefault="00527501" w:rsidP="00527501">
            <w:pPr>
              <w:pStyle w:val="BodyText"/>
              <w:spacing w:before="69" w:afterLines="140" w:after="336" w:line="280" w:lineRule="exact"/>
              <w:jc w:val="both"/>
              <w:rPr>
                <w:b/>
                <w:bCs/>
                <w:lang w:val="en-GB"/>
              </w:rPr>
            </w:pPr>
            <w:r>
              <w:rPr>
                <w:b/>
                <w:bCs/>
                <w:lang w:val="en-GB"/>
              </w:rPr>
              <w:t>Item 2 on the agenda:</w:t>
            </w:r>
          </w:p>
        </w:tc>
      </w:tr>
      <w:tr w:rsidR="00F27542" w:rsidRPr="00FA2D06" w14:paraId="3D47299C" w14:textId="77777777" w:rsidTr="006665A7">
        <w:tc>
          <w:tcPr>
            <w:tcW w:w="4803" w:type="dxa"/>
          </w:tcPr>
          <w:p w14:paraId="4824ADE3" w14:textId="5571C393" w:rsidR="00F27542" w:rsidRPr="000F273F" w:rsidRDefault="00F27542" w:rsidP="004E504F">
            <w:pPr>
              <w:pStyle w:val="BodyText"/>
              <w:spacing w:before="69" w:afterLines="140" w:after="336" w:line="280" w:lineRule="exact"/>
              <w:jc w:val="both"/>
            </w:pPr>
            <w:r>
              <w:t>Potrivit art.</w:t>
            </w:r>
            <w:r w:rsidR="001B1EB0">
              <w:t> </w:t>
            </w:r>
            <w:r>
              <w:t>137</w:t>
            </w:r>
            <w:r w:rsidR="000F273F">
              <w:rPr>
                <w:vertAlign w:val="superscript"/>
              </w:rPr>
              <w:t>1</w:t>
            </w:r>
            <w:r w:rsidR="00C24971">
              <w:t xml:space="preserve"> </w:t>
            </w:r>
            <w:r w:rsidR="00C3029D">
              <w:t>ș</w:t>
            </w:r>
            <w:r w:rsidR="00B848C3">
              <w:t>i art.</w:t>
            </w:r>
            <w:r w:rsidR="001B1EB0">
              <w:t> </w:t>
            </w:r>
            <w:r w:rsidR="00B848C3">
              <w:t xml:space="preserve">111 alin. (2) lit. b) </w:t>
            </w:r>
            <w:r w:rsidR="00C24971">
              <w:t>din Legea nr.</w:t>
            </w:r>
            <w:r w:rsidR="001B1EB0">
              <w:t> </w:t>
            </w:r>
            <w:r w:rsidR="00C24971">
              <w:t>31/1990 privind societățile,</w:t>
            </w:r>
            <w:r w:rsidR="00F57F17">
              <w:t xml:space="preserve"> a</w:t>
            </w:r>
            <w:r w:rsidR="00F57F17" w:rsidRPr="00F57F17">
              <w:t xml:space="preserve">dministratorii sunt desemnați de către </w:t>
            </w:r>
            <w:r w:rsidR="00C3029D">
              <w:t>AGOA</w:t>
            </w:r>
            <w:r w:rsidR="00F57F17">
              <w:t xml:space="preserve">, la propunerea acționarilor Societății. Candidaturile pot fi transmise </w:t>
            </w:r>
            <w:r w:rsidR="004E504F">
              <w:t>î</w:t>
            </w:r>
            <w:r w:rsidR="00F57F17">
              <w:t xml:space="preserve">n scris </w:t>
            </w:r>
            <w:r w:rsidR="004E504F">
              <w:t>î</w:t>
            </w:r>
            <w:r w:rsidR="00F57F17">
              <w:t xml:space="preserve">n </w:t>
            </w:r>
            <w:r w:rsidR="004E504F">
              <w:t>conformitate</w:t>
            </w:r>
            <w:r w:rsidR="00F57F17">
              <w:t xml:space="preserve"> cu </w:t>
            </w:r>
            <w:r w:rsidR="004E504F">
              <w:t>instrucțiunile</w:t>
            </w:r>
            <w:r w:rsidR="00F57F17">
              <w:t xml:space="preserve"> prezentate </w:t>
            </w:r>
            <w:r w:rsidR="004E504F">
              <w:t>î</w:t>
            </w:r>
            <w:r w:rsidR="00F57F17">
              <w:t xml:space="preserve">n </w:t>
            </w:r>
            <w:r w:rsidR="004E504F">
              <w:t xml:space="preserve">Convocatorul </w:t>
            </w:r>
            <w:r w:rsidR="0022203F">
              <w:t>AGOA</w:t>
            </w:r>
            <w:r w:rsidR="004E504F">
              <w:t xml:space="preserve"> și </w:t>
            </w:r>
            <w:r w:rsidR="0022203F">
              <w:t>AGEA</w:t>
            </w:r>
            <w:r w:rsidR="00F57F17">
              <w:t xml:space="preserve">, </w:t>
            </w:r>
            <w:r w:rsidR="00F57F17" w:rsidRPr="00F57F17">
              <w:t>însoțite de documentele care dovedesc identitatea acționarului</w:t>
            </w:r>
            <w:r w:rsidR="00C4702C">
              <w:t xml:space="preserve"> </w:t>
            </w:r>
            <w:r w:rsidR="00C3029D">
              <w:t>ș</w:t>
            </w:r>
            <w:r w:rsidR="00C4702C">
              <w:t xml:space="preserve">i a </w:t>
            </w:r>
            <w:r w:rsidR="00F57F17" w:rsidRPr="00F57F17">
              <w:t>candidatului</w:t>
            </w:r>
            <w:r w:rsidR="00C4702C">
              <w:t>.</w:t>
            </w:r>
            <w:r w:rsidR="004E504F">
              <w:t xml:space="preserve"> </w:t>
            </w:r>
            <w:r w:rsidR="00527501">
              <w:t>În conformitate cu</w:t>
            </w:r>
            <w:r w:rsidR="004E504F">
              <w:t xml:space="preserve"> art</w:t>
            </w:r>
            <w:r w:rsidR="00C4702C">
              <w:t>.</w:t>
            </w:r>
            <w:r w:rsidR="001B1EB0">
              <w:t> </w:t>
            </w:r>
            <w:r w:rsidR="00C4702C" w:rsidRPr="00C4702C">
              <w:t>153</w:t>
            </w:r>
            <w:r w:rsidR="00C4702C" w:rsidRPr="006470A1">
              <w:rPr>
                <w:vertAlign w:val="superscript"/>
              </w:rPr>
              <w:t>12</w:t>
            </w:r>
            <w:r w:rsidR="00C4702C" w:rsidRPr="00C4702C">
              <w:t xml:space="preserve"> </w:t>
            </w:r>
            <w:r w:rsidR="004E504F">
              <w:t>din Legea nr.</w:t>
            </w:r>
            <w:r w:rsidR="001B1EB0">
              <w:t> </w:t>
            </w:r>
            <w:r w:rsidR="004E504F">
              <w:t>31/1990 privind societățile</w:t>
            </w:r>
            <w:r w:rsidR="00C4702C">
              <w:t xml:space="preserve">, durata mandatului membrilor Consiliului de Administrație este de </w:t>
            </w:r>
            <w:r w:rsidR="00FE6838">
              <w:t>patru</w:t>
            </w:r>
            <w:r w:rsidR="001B1EB0">
              <w:t> </w:t>
            </w:r>
            <w:r w:rsidR="00FE6838">
              <w:t>(</w:t>
            </w:r>
            <w:r w:rsidR="00C4702C">
              <w:t>4</w:t>
            </w:r>
            <w:r w:rsidR="001B1EB0">
              <w:t>) </w:t>
            </w:r>
            <w:r w:rsidR="00C4702C">
              <w:t>ani, cu posibilitate de realegere.</w:t>
            </w:r>
          </w:p>
        </w:tc>
        <w:tc>
          <w:tcPr>
            <w:tcW w:w="4804" w:type="dxa"/>
          </w:tcPr>
          <w:p w14:paraId="422FC28B" w14:textId="2ECBEA35" w:rsidR="00F27542" w:rsidRPr="00FE6838" w:rsidRDefault="00FE6838" w:rsidP="00FE6838">
            <w:pPr>
              <w:pStyle w:val="BodyText"/>
              <w:spacing w:before="69" w:afterLines="140" w:after="336" w:line="280" w:lineRule="exact"/>
              <w:jc w:val="both"/>
              <w:rPr>
                <w:lang w:val="en-GB"/>
              </w:rPr>
            </w:pPr>
            <w:r w:rsidRPr="00FE6838">
              <w:rPr>
                <w:lang w:val="en-GB"/>
              </w:rPr>
              <w:t>Pertaining art.</w:t>
            </w:r>
            <w:r w:rsidR="001B1EB0">
              <w:rPr>
                <w:lang w:val="en-GB"/>
              </w:rPr>
              <w:t> </w:t>
            </w:r>
            <w:r w:rsidRPr="00FE6838">
              <w:rPr>
                <w:lang w:val="en-GB"/>
              </w:rPr>
              <w:t>137</w:t>
            </w:r>
            <w:r w:rsidRPr="00FE6838">
              <w:rPr>
                <w:vertAlign w:val="superscript"/>
                <w:lang w:val="en-GB"/>
              </w:rPr>
              <w:t>1</w:t>
            </w:r>
            <w:r w:rsidRPr="00FE6838">
              <w:rPr>
                <w:lang w:val="en-GB"/>
              </w:rPr>
              <w:t xml:space="preserve"> and art.</w:t>
            </w:r>
            <w:r w:rsidR="001B1EB0">
              <w:rPr>
                <w:lang w:val="en-GB"/>
              </w:rPr>
              <w:t> </w:t>
            </w:r>
            <w:r w:rsidRPr="00FE6838">
              <w:rPr>
                <w:lang w:val="en-GB"/>
              </w:rPr>
              <w:t>111 para. (2) let. b) of Law no.</w:t>
            </w:r>
            <w:r w:rsidR="001B1EB0">
              <w:rPr>
                <w:lang w:val="en-GB"/>
              </w:rPr>
              <w:t> </w:t>
            </w:r>
            <w:r w:rsidRPr="00FE6838">
              <w:rPr>
                <w:lang w:val="en-GB"/>
              </w:rPr>
              <w:t xml:space="preserve">31/1990 on companies, the directors are appointed by OGMS, on the proposal of the shareholders of the Company. Applications may be submitted in writing in accordance with the instructions set out in the Convening notice of OGMS and EGMS dated [●], together with documents proving the identity of the shareholder and the nominee. </w:t>
            </w:r>
            <w:r w:rsidR="00527501">
              <w:rPr>
                <w:lang w:val="en-GB"/>
              </w:rPr>
              <w:t>In accordance with</w:t>
            </w:r>
            <w:r w:rsidRPr="00FE6838">
              <w:rPr>
                <w:lang w:val="en-GB"/>
              </w:rPr>
              <w:t xml:space="preserve"> art.</w:t>
            </w:r>
            <w:r w:rsidR="001B1EB0">
              <w:rPr>
                <w:lang w:val="en-GB"/>
              </w:rPr>
              <w:t> </w:t>
            </w:r>
            <w:r w:rsidRPr="00FE6838">
              <w:rPr>
                <w:lang w:val="en-GB"/>
              </w:rPr>
              <w:t>153</w:t>
            </w:r>
            <w:r w:rsidRPr="00FE6838">
              <w:rPr>
                <w:vertAlign w:val="superscript"/>
                <w:lang w:val="en-GB"/>
              </w:rPr>
              <w:t>12</w:t>
            </w:r>
            <w:r w:rsidRPr="00FE6838">
              <w:rPr>
                <w:lang w:val="en-GB"/>
              </w:rPr>
              <w:t xml:space="preserve"> of Law no.</w:t>
            </w:r>
            <w:r w:rsidR="001B1EB0">
              <w:rPr>
                <w:lang w:val="en-GB"/>
              </w:rPr>
              <w:t> </w:t>
            </w:r>
            <w:r w:rsidRPr="00FE6838">
              <w:rPr>
                <w:lang w:val="en-GB"/>
              </w:rPr>
              <w:t>31/1990 on companies, the term of office of the members of the Board of Directors is four</w:t>
            </w:r>
            <w:r w:rsidR="001B1EB0">
              <w:rPr>
                <w:lang w:val="en-GB"/>
              </w:rPr>
              <w:t> </w:t>
            </w:r>
            <w:r w:rsidRPr="00FE6838">
              <w:rPr>
                <w:lang w:val="en-GB"/>
              </w:rPr>
              <w:t>(4)</w:t>
            </w:r>
            <w:r w:rsidR="001B1EB0">
              <w:rPr>
                <w:lang w:val="en-GB"/>
              </w:rPr>
              <w:t> </w:t>
            </w:r>
            <w:r w:rsidRPr="00FE6838">
              <w:rPr>
                <w:lang w:val="en-GB"/>
              </w:rPr>
              <w:t>years, with the possibility of reappointment.</w:t>
            </w:r>
          </w:p>
        </w:tc>
      </w:tr>
      <w:tr w:rsidR="00D232F2" w:rsidRPr="00FA2D06" w14:paraId="4106D62E" w14:textId="77777777" w:rsidTr="006665A7">
        <w:tc>
          <w:tcPr>
            <w:tcW w:w="4803" w:type="dxa"/>
          </w:tcPr>
          <w:p w14:paraId="076F6D00" w14:textId="609B5288" w:rsidR="00D232F2" w:rsidRPr="00640842" w:rsidRDefault="00527501" w:rsidP="00527501">
            <w:pPr>
              <w:pStyle w:val="BodyText"/>
              <w:spacing w:before="69" w:afterLines="140" w:after="336" w:line="280" w:lineRule="exact"/>
              <w:jc w:val="both"/>
              <w:rPr>
                <w:b/>
                <w:bCs/>
              </w:rPr>
            </w:pPr>
            <w:r>
              <w:rPr>
                <w:b/>
                <w:bCs/>
              </w:rPr>
              <w:t>Punctul 3 de pe ordinea de zi:</w:t>
            </w:r>
          </w:p>
        </w:tc>
        <w:tc>
          <w:tcPr>
            <w:tcW w:w="4804" w:type="dxa"/>
          </w:tcPr>
          <w:p w14:paraId="58B55EE8" w14:textId="77AA042C" w:rsidR="00D232F2" w:rsidRPr="00640842" w:rsidRDefault="00527501" w:rsidP="00527501">
            <w:pPr>
              <w:pStyle w:val="BodyText"/>
              <w:spacing w:before="69" w:afterLines="140" w:after="336" w:line="280" w:lineRule="exact"/>
              <w:jc w:val="both"/>
              <w:rPr>
                <w:b/>
                <w:bCs/>
                <w:lang w:val="en-GB"/>
              </w:rPr>
            </w:pPr>
            <w:r>
              <w:rPr>
                <w:b/>
                <w:bCs/>
                <w:lang w:val="en-GB"/>
              </w:rPr>
              <w:t>Item 3 on the agenda:</w:t>
            </w:r>
          </w:p>
        </w:tc>
      </w:tr>
      <w:tr w:rsidR="0022203F" w:rsidRPr="00FA2D06" w14:paraId="3B0485D9" w14:textId="77777777" w:rsidTr="006665A7">
        <w:tc>
          <w:tcPr>
            <w:tcW w:w="4803" w:type="dxa"/>
          </w:tcPr>
          <w:p w14:paraId="01B83F2A" w14:textId="63E638E1" w:rsidR="0022203F" w:rsidRDefault="00527501" w:rsidP="00897D44">
            <w:pPr>
              <w:pStyle w:val="BodyText"/>
              <w:spacing w:before="69" w:afterLines="50" w:line="280" w:lineRule="exact"/>
              <w:jc w:val="both"/>
            </w:pPr>
            <w:r>
              <w:t xml:space="preserve">Punctul 3 de pe ordinea de zi se referă la aprobarea de către AGOA a </w:t>
            </w:r>
            <w:r w:rsidR="0022203F" w:rsidRPr="006470A1">
              <w:t>termeni</w:t>
            </w:r>
            <w:r>
              <w:t>lor</w:t>
            </w:r>
            <w:r w:rsidR="0022203F" w:rsidRPr="006470A1">
              <w:t xml:space="preserve"> </w:t>
            </w:r>
            <w:r w:rsidR="0022203F">
              <w:t>principali (</w:t>
            </w:r>
            <w:r w:rsidR="0022203F" w:rsidRPr="00527501">
              <w:t>“</w:t>
            </w:r>
            <w:r w:rsidR="0022203F" w:rsidRPr="00527501">
              <w:rPr>
                <w:b/>
                <w:bCs/>
              </w:rPr>
              <w:t>Termenii</w:t>
            </w:r>
            <w:r w:rsidR="0022203F" w:rsidRPr="00527501">
              <w:t>”</w:t>
            </w:r>
            <w:r w:rsidR="0022203F">
              <w:t>)</w:t>
            </w:r>
            <w:r w:rsidR="0022203F" w:rsidRPr="006470A1">
              <w:t xml:space="preserve"> ai contract</w:t>
            </w:r>
            <w:r>
              <w:t>elor</w:t>
            </w:r>
            <w:r w:rsidR="0022203F" w:rsidRPr="006470A1">
              <w:t xml:space="preserve"> de mandat care se vor </w:t>
            </w:r>
            <w:r w:rsidR="0022203F" w:rsidRPr="0022203F">
              <w:t>încheia</w:t>
            </w:r>
            <w:r w:rsidR="0022203F" w:rsidRPr="006470A1">
              <w:t xml:space="preserve"> </w:t>
            </w:r>
            <w:r w:rsidR="0022203F">
              <w:t>î</w:t>
            </w:r>
            <w:r w:rsidR="0022203F" w:rsidRPr="006470A1">
              <w:t xml:space="preserve">ntre Societate </w:t>
            </w:r>
            <w:r w:rsidR="0022203F">
              <w:t>ș</w:t>
            </w:r>
            <w:r w:rsidR="0022203F" w:rsidRPr="006470A1">
              <w:t xml:space="preserve">i fiecare </w:t>
            </w:r>
            <w:r w:rsidR="0022203F" w:rsidRPr="0022203F">
              <w:t>dintre</w:t>
            </w:r>
            <w:r w:rsidR="0022203F" w:rsidRPr="006470A1">
              <w:t xml:space="preserve"> membrii Consiliului de </w:t>
            </w:r>
            <w:r w:rsidR="0022203F" w:rsidRPr="0022203F">
              <w:t>Administrație</w:t>
            </w:r>
            <w:r w:rsidR="0022203F" w:rsidRPr="006470A1">
              <w:t xml:space="preserve">, astfel cum vor fi </w:t>
            </w:r>
            <w:r w:rsidR="0022203F" w:rsidRPr="0022203F">
              <w:t>aleși</w:t>
            </w:r>
            <w:r w:rsidR="0022203F" w:rsidRPr="006470A1">
              <w:t xml:space="preserve"> de AGOA potrivit punctului</w:t>
            </w:r>
            <w:r w:rsidR="00106BDF">
              <w:t> </w:t>
            </w:r>
            <w:r w:rsidR="0022203F" w:rsidRPr="006470A1">
              <w:fldChar w:fldCharType="begin"/>
            </w:r>
            <w:r w:rsidR="0022203F" w:rsidRPr="006470A1">
              <w:instrText xml:space="preserve"> REF _Ref117590454 \r \h </w:instrText>
            </w:r>
            <w:r w:rsidR="0022203F">
              <w:instrText xml:space="preserve"> \* MERGEFORMAT </w:instrText>
            </w:r>
            <w:r w:rsidR="0022203F" w:rsidRPr="006470A1">
              <w:fldChar w:fldCharType="separate"/>
            </w:r>
            <w:r w:rsidR="0022203F" w:rsidRPr="006470A1">
              <w:t>2</w:t>
            </w:r>
            <w:r w:rsidR="0022203F" w:rsidRPr="006470A1">
              <w:fldChar w:fldCharType="end"/>
            </w:r>
            <w:r w:rsidR="00B848C3">
              <w:t xml:space="preserve"> </w:t>
            </w:r>
            <w:r w:rsidR="0022203F" w:rsidRPr="006470A1">
              <w:t xml:space="preserve">de mai sus. </w:t>
            </w:r>
            <w:r w:rsidR="003C7784">
              <w:t xml:space="preserve">Printre altele, </w:t>
            </w:r>
            <w:r w:rsidR="0022203F">
              <w:t xml:space="preserve">Termenii cuprind prevederi cu privire la </w:t>
            </w:r>
            <w:r w:rsidR="003C7784">
              <w:t xml:space="preserve">următoarele </w:t>
            </w:r>
            <w:r w:rsidR="0022203F">
              <w:t>clauzele esențiale ale contractelor de mandat</w:t>
            </w:r>
            <w:r w:rsidR="003C7784">
              <w:t>: (i) atribuțiile de bază ale membrilor Consiliului de Administrație; (ii) remunerația</w:t>
            </w:r>
            <w:r w:rsidR="007B2907">
              <w:t xml:space="preserve"> membrilor Consiliului de Administrație</w:t>
            </w:r>
            <w:r w:rsidR="003C7784">
              <w:t xml:space="preserve">; (iii) durata contractului de mandat; (iv) cheltuieli și facilitați și asigurare profesională; </w:t>
            </w:r>
            <w:r w:rsidR="0006401A">
              <w:t xml:space="preserve">(v) proprietate intelectuală; </w:t>
            </w:r>
            <w:r w:rsidR="003C7784">
              <w:t>(v</w:t>
            </w:r>
            <w:r w:rsidR="0006401A">
              <w:t>i</w:t>
            </w:r>
            <w:r w:rsidR="003C7784">
              <w:t xml:space="preserve">) </w:t>
            </w:r>
            <w:r w:rsidR="003C7784" w:rsidRPr="003C7784">
              <w:t xml:space="preserve">răspunderea </w:t>
            </w:r>
            <w:r w:rsidR="003C7784">
              <w:t>m</w:t>
            </w:r>
            <w:r w:rsidR="003C7784" w:rsidRPr="003C7784">
              <w:t>embrului Consiliului de Administrație</w:t>
            </w:r>
            <w:r w:rsidR="003C7784">
              <w:t>; (v</w:t>
            </w:r>
            <w:r w:rsidR="0006401A">
              <w:t>i</w:t>
            </w:r>
            <w:r w:rsidR="003C7784">
              <w:t>i) cazuri de încetare ale contractului de mandat</w:t>
            </w:r>
            <w:r w:rsidR="0006401A">
              <w:t>;</w:t>
            </w:r>
            <w:r>
              <w:t xml:space="preserve"> și</w:t>
            </w:r>
            <w:r w:rsidR="0006401A">
              <w:t xml:space="preserve"> (viii) legea aplicabilă și jurisdicția</w:t>
            </w:r>
            <w:r w:rsidR="003C7784">
              <w:t>.</w:t>
            </w:r>
          </w:p>
          <w:p w14:paraId="30B1CFB0" w14:textId="16934313" w:rsidR="00A137BC" w:rsidRPr="006470A1" w:rsidRDefault="00A137BC" w:rsidP="00897D44">
            <w:pPr>
              <w:pStyle w:val="BodyText"/>
              <w:spacing w:before="69" w:afterLines="50" w:line="280" w:lineRule="exact"/>
              <w:jc w:val="both"/>
            </w:pPr>
            <w:r>
              <w:t xml:space="preserve">Cu scopul negocierii și semnării contractelor de mandat </w:t>
            </w:r>
            <w:r w:rsidR="00527501">
              <w:t>î</w:t>
            </w:r>
            <w:r>
              <w:t xml:space="preserve">n conformitate cu Termenii, se propune </w:t>
            </w:r>
            <w:r w:rsidRPr="00A137BC">
              <w:t>împuternicirea Președintelui Consiliului de Administrație, care va fi ales în conformitate cu prevederile Actului Constitutiv</w:t>
            </w:r>
            <w:r>
              <w:t xml:space="preserve">. </w:t>
            </w:r>
            <w:r w:rsidRPr="00A137BC">
              <w:t>Contractul de mandat care va fi încheiat între Societate și Președintele Consiliului de Administrație va putea fi semnat de oricare alt membru al Consiliului de Administrație.</w:t>
            </w:r>
          </w:p>
        </w:tc>
        <w:tc>
          <w:tcPr>
            <w:tcW w:w="4804" w:type="dxa"/>
          </w:tcPr>
          <w:p w14:paraId="0A98B87C" w14:textId="42DB1225" w:rsidR="0022203F" w:rsidRDefault="00527501" w:rsidP="00897D44">
            <w:pPr>
              <w:pStyle w:val="BodyText"/>
              <w:spacing w:before="69" w:afterLines="50" w:line="280" w:lineRule="exact"/>
              <w:jc w:val="both"/>
              <w:rPr>
                <w:lang w:val="en-GB"/>
              </w:rPr>
            </w:pPr>
            <w:r>
              <w:rPr>
                <w:lang w:val="en-GB"/>
              </w:rPr>
              <w:t>Item 3 on the agenda relates to the approval of the</w:t>
            </w:r>
            <w:r w:rsidR="00FE6838" w:rsidRPr="00FE6838">
              <w:rPr>
                <w:lang w:val="en-GB"/>
              </w:rPr>
              <w:t xml:space="preserve"> </w:t>
            </w:r>
            <w:r w:rsidR="00FE6838">
              <w:rPr>
                <w:lang w:val="en-GB"/>
              </w:rPr>
              <w:t>main</w:t>
            </w:r>
            <w:r w:rsidR="00FE6838" w:rsidRPr="00FE6838">
              <w:rPr>
                <w:lang w:val="en-GB"/>
              </w:rPr>
              <w:t xml:space="preserve"> terms (</w:t>
            </w:r>
            <w:r w:rsidR="00FE6838">
              <w:rPr>
                <w:lang w:val="en-GB"/>
              </w:rPr>
              <w:t xml:space="preserve">the </w:t>
            </w:r>
            <w:r w:rsidR="00FE6838">
              <w:rPr>
                <w:lang w:val="en-US"/>
              </w:rPr>
              <w:t>“</w:t>
            </w:r>
            <w:r w:rsidR="00FE6838" w:rsidRPr="00FE6838">
              <w:rPr>
                <w:b/>
                <w:bCs/>
                <w:lang w:val="en-GB"/>
              </w:rPr>
              <w:t>Terms</w:t>
            </w:r>
            <w:r w:rsidR="00FE6838" w:rsidRPr="00FE6838">
              <w:rPr>
                <w:lang w:val="en-GB"/>
              </w:rPr>
              <w:t xml:space="preserve">”) of the </w:t>
            </w:r>
            <w:r w:rsidR="00FE6838">
              <w:rPr>
                <w:lang w:val="en-GB"/>
              </w:rPr>
              <w:t>m</w:t>
            </w:r>
            <w:r w:rsidR="00FE6838" w:rsidRPr="00FE6838">
              <w:rPr>
                <w:lang w:val="en-GB"/>
              </w:rPr>
              <w:t xml:space="preserve">andate </w:t>
            </w:r>
            <w:r w:rsidR="00FE6838">
              <w:rPr>
                <w:lang w:val="en-GB"/>
              </w:rPr>
              <w:t>a</w:t>
            </w:r>
            <w:r w:rsidR="00FE6838" w:rsidRPr="00FE6838">
              <w:rPr>
                <w:lang w:val="en-GB"/>
              </w:rPr>
              <w:t>greements to be entered into between the Company and each of the members of the Board of Directors</w:t>
            </w:r>
            <w:r w:rsidR="00FE6838">
              <w:rPr>
                <w:lang w:val="en-GB"/>
              </w:rPr>
              <w:t>,</w:t>
            </w:r>
            <w:r w:rsidR="00FE6838" w:rsidRPr="00FE6838">
              <w:rPr>
                <w:lang w:val="en-GB"/>
              </w:rPr>
              <w:t xml:space="preserve"> as </w:t>
            </w:r>
            <w:r w:rsidR="00FE6838">
              <w:rPr>
                <w:lang w:val="en-GB"/>
              </w:rPr>
              <w:t>appointed</w:t>
            </w:r>
            <w:r w:rsidR="00FE6838" w:rsidRPr="00FE6838">
              <w:rPr>
                <w:lang w:val="en-GB"/>
              </w:rPr>
              <w:t xml:space="preserve"> by the </w:t>
            </w:r>
            <w:r w:rsidR="00FE6838">
              <w:rPr>
                <w:lang w:val="en-GB"/>
              </w:rPr>
              <w:t>OGMS</w:t>
            </w:r>
            <w:r w:rsidR="00FE6838" w:rsidRPr="00FE6838">
              <w:rPr>
                <w:lang w:val="en-GB"/>
              </w:rPr>
              <w:t xml:space="preserve"> pursuant to </w:t>
            </w:r>
            <w:r w:rsidR="00FE6838">
              <w:rPr>
                <w:lang w:val="en-GB"/>
              </w:rPr>
              <w:t>item</w:t>
            </w:r>
            <w:r w:rsidR="00106BDF">
              <w:rPr>
                <w:lang w:val="en-GB"/>
              </w:rPr>
              <w:t> </w:t>
            </w:r>
            <w:r w:rsidR="001B1EB0">
              <w:rPr>
                <w:lang w:val="en-GB"/>
              </w:rPr>
              <w:fldChar w:fldCharType="begin"/>
            </w:r>
            <w:r w:rsidR="001B1EB0">
              <w:rPr>
                <w:lang w:val="en-GB"/>
              </w:rPr>
              <w:instrText xml:space="preserve"> REF _Ref117605112 \r \h </w:instrText>
            </w:r>
            <w:r w:rsidR="001B1EB0">
              <w:rPr>
                <w:lang w:val="en-GB"/>
              </w:rPr>
            </w:r>
            <w:r w:rsidR="001B1EB0">
              <w:rPr>
                <w:lang w:val="en-GB"/>
              </w:rPr>
              <w:fldChar w:fldCharType="separate"/>
            </w:r>
            <w:r w:rsidR="001B1EB0">
              <w:rPr>
                <w:lang w:val="en-GB"/>
              </w:rPr>
              <w:t>2</w:t>
            </w:r>
            <w:r w:rsidR="001B1EB0">
              <w:rPr>
                <w:lang w:val="en-GB"/>
              </w:rPr>
              <w:fldChar w:fldCharType="end"/>
            </w:r>
            <w:r w:rsidR="00FE6838" w:rsidRPr="00FE6838">
              <w:rPr>
                <w:lang w:val="en-GB"/>
              </w:rPr>
              <w:t xml:space="preserve"> above. Among others, the Terms contain provisions with respect to the following key terms of the </w:t>
            </w:r>
            <w:r w:rsidR="00FE6838">
              <w:rPr>
                <w:lang w:val="en-GB"/>
              </w:rPr>
              <w:t>m</w:t>
            </w:r>
            <w:r w:rsidR="00FE6838" w:rsidRPr="00FE6838">
              <w:rPr>
                <w:lang w:val="en-GB"/>
              </w:rPr>
              <w:t xml:space="preserve">andate </w:t>
            </w:r>
            <w:r w:rsidR="00FE6838">
              <w:rPr>
                <w:lang w:val="en-GB"/>
              </w:rPr>
              <w:t>a</w:t>
            </w:r>
            <w:r w:rsidR="00FE6838" w:rsidRPr="00FE6838">
              <w:rPr>
                <w:lang w:val="en-GB"/>
              </w:rPr>
              <w:t>greements: (</w:t>
            </w:r>
            <w:proofErr w:type="spellStart"/>
            <w:r w:rsidR="00FE6838" w:rsidRPr="00FE6838">
              <w:rPr>
                <w:lang w:val="en-GB"/>
              </w:rPr>
              <w:t>i</w:t>
            </w:r>
            <w:proofErr w:type="spellEnd"/>
            <w:r w:rsidR="00FE6838" w:rsidRPr="00FE6838">
              <w:rPr>
                <w:lang w:val="en-GB"/>
              </w:rPr>
              <w:t xml:space="preserve">) </w:t>
            </w:r>
            <w:r w:rsidR="00FE6838">
              <w:rPr>
                <w:lang w:val="en-GB"/>
              </w:rPr>
              <w:t>general</w:t>
            </w:r>
            <w:r w:rsidR="00FE6838" w:rsidRPr="00FE6838">
              <w:rPr>
                <w:lang w:val="en-GB"/>
              </w:rPr>
              <w:t xml:space="preserve"> duties of the members of the Board of Directors; (ii) remuneration of the members of the Board of Directors; (iii) duration of the </w:t>
            </w:r>
            <w:r w:rsidR="00FE6838">
              <w:rPr>
                <w:lang w:val="en-GB"/>
              </w:rPr>
              <w:t>m</w:t>
            </w:r>
            <w:r w:rsidR="00FE6838" w:rsidRPr="00FE6838">
              <w:rPr>
                <w:lang w:val="en-GB"/>
              </w:rPr>
              <w:t xml:space="preserve">andate </w:t>
            </w:r>
            <w:r w:rsidR="00FE6838">
              <w:rPr>
                <w:lang w:val="en-GB"/>
              </w:rPr>
              <w:t>a</w:t>
            </w:r>
            <w:r w:rsidR="00FE6838" w:rsidRPr="00FE6838">
              <w:rPr>
                <w:lang w:val="en-GB"/>
              </w:rPr>
              <w:t xml:space="preserve">greement; (iv) expenses and facilities and professional insurance; (v) intellectual property; (vi) liability of the member of the Board of Directors; (vii) cases of termination of the </w:t>
            </w:r>
            <w:r w:rsidR="00FE6838">
              <w:rPr>
                <w:lang w:val="en-GB"/>
              </w:rPr>
              <w:t>m</w:t>
            </w:r>
            <w:r w:rsidR="00FE6838" w:rsidRPr="00FE6838">
              <w:rPr>
                <w:lang w:val="en-GB"/>
              </w:rPr>
              <w:t xml:space="preserve">andate </w:t>
            </w:r>
            <w:r w:rsidR="00FE6838">
              <w:rPr>
                <w:lang w:val="en-GB"/>
              </w:rPr>
              <w:t>a</w:t>
            </w:r>
            <w:r w:rsidR="00FE6838" w:rsidRPr="00FE6838">
              <w:rPr>
                <w:lang w:val="en-GB"/>
              </w:rPr>
              <w:t xml:space="preserve">greement; </w:t>
            </w:r>
            <w:r>
              <w:rPr>
                <w:lang w:val="en-GB"/>
              </w:rPr>
              <w:t xml:space="preserve">and </w:t>
            </w:r>
            <w:r w:rsidR="00FE6838" w:rsidRPr="00FE6838">
              <w:rPr>
                <w:lang w:val="en-GB"/>
              </w:rPr>
              <w:t>(viii) applicable law and jurisdiction.</w:t>
            </w:r>
          </w:p>
          <w:p w14:paraId="30795D7E" w14:textId="53600830" w:rsidR="00897D44" w:rsidRPr="00FE6838" w:rsidRDefault="00897D44" w:rsidP="00897D44">
            <w:pPr>
              <w:pStyle w:val="BodyText"/>
              <w:spacing w:before="69" w:afterLines="50" w:line="280" w:lineRule="exact"/>
              <w:jc w:val="both"/>
              <w:rPr>
                <w:lang w:val="en-GB"/>
              </w:rPr>
            </w:pPr>
            <w:r w:rsidRPr="00897D44">
              <w:rPr>
                <w:lang w:val="en-GB"/>
              </w:rPr>
              <w:t xml:space="preserve">For the purpose of negotiating and signing the </w:t>
            </w:r>
            <w:r>
              <w:rPr>
                <w:lang w:val="en-GB"/>
              </w:rPr>
              <w:t>mandate agreements</w:t>
            </w:r>
            <w:r w:rsidRPr="00897D44">
              <w:rPr>
                <w:lang w:val="en-GB"/>
              </w:rPr>
              <w:t xml:space="preserve"> in accordance with the Terms, it is proposed to empower the Chairman of the Board of Directors, who will be elected in accordance with the provisions of the Articles of Association. The mandate contract to be concluded between the Company and the Chairman of the Board of Directors may be signed by any other member of the Board of Directors.</w:t>
            </w:r>
          </w:p>
        </w:tc>
      </w:tr>
      <w:tr w:rsidR="00D232F2" w:rsidRPr="00FA2D06" w14:paraId="18EBC913" w14:textId="77777777" w:rsidTr="006665A7">
        <w:tc>
          <w:tcPr>
            <w:tcW w:w="4803" w:type="dxa"/>
          </w:tcPr>
          <w:p w14:paraId="3E536BC4" w14:textId="5CDF0892" w:rsidR="00D232F2" w:rsidRPr="00640842" w:rsidRDefault="00527501" w:rsidP="00527501">
            <w:pPr>
              <w:pStyle w:val="BodyText"/>
              <w:spacing w:before="69" w:afterLines="140" w:after="336" w:line="280" w:lineRule="exact"/>
              <w:jc w:val="both"/>
              <w:rPr>
                <w:b/>
                <w:bCs/>
              </w:rPr>
            </w:pPr>
            <w:r>
              <w:rPr>
                <w:b/>
                <w:bCs/>
              </w:rPr>
              <w:t>Punctul 4 de pe ordinea de zi:</w:t>
            </w:r>
          </w:p>
        </w:tc>
        <w:tc>
          <w:tcPr>
            <w:tcW w:w="4804" w:type="dxa"/>
          </w:tcPr>
          <w:p w14:paraId="215A1BDE" w14:textId="25B3FE70" w:rsidR="00D232F2" w:rsidRPr="00640842" w:rsidRDefault="00527501" w:rsidP="00527501">
            <w:pPr>
              <w:pStyle w:val="BodyText"/>
              <w:spacing w:before="69" w:afterLines="140" w:after="336" w:line="280" w:lineRule="exact"/>
              <w:jc w:val="both"/>
              <w:rPr>
                <w:b/>
                <w:bCs/>
                <w:lang w:val="en-GB"/>
              </w:rPr>
            </w:pPr>
            <w:r>
              <w:rPr>
                <w:b/>
                <w:bCs/>
                <w:lang w:val="en-GB"/>
              </w:rPr>
              <w:t>Item 4 on the agenda:</w:t>
            </w:r>
          </w:p>
        </w:tc>
      </w:tr>
      <w:tr w:rsidR="00B848C3" w:rsidRPr="00FA2D06" w14:paraId="14DA8CBC" w14:textId="77777777" w:rsidTr="006665A7">
        <w:tc>
          <w:tcPr>
            <w:tcW w:w="4803" w:type="dxa"/>
          </w:tcPr>
          <w:p w14:paraId="3E0D6339" w14:textId="5D1DA100" w:rsidR="00B848C3" w:rsidRPr="006470A1" w:rsidRDefault="00B848C3" w:rsidP="006470A1">
            <w:pPr>
              <w:pStyle w:val="BodyText"/>
              <w:spacing w:before="69" w:afterLines="140" w:after="336" w:line="280" w:lineRule="exact"/>
              <w:jc w:val="both"/>
            </w:pPr>
            <w:r w:rsidRPr="00B848C3">
              <w:t>Potrivit art.</w:t>
            </w:r>
            <w:r w:rsidR="00106BDF">
              <w:t> </w:t>
            </w:r>
            <w:r w:rsidRPr="00B848C3">
              <w:t>111 alin.</w:t>
            </w:r>
            <w:r w:rsidR="00106BDF">
              <w:t> </w:t>
            </w:r>
            <w:r w:rsidRPr="00B848C3">
              <w:t xml:space="preserve">(2) lit. </w:t>
            </w:r>
            <w:r>
              <w:t>c</w:t>
            </w:r>
            <w:r w:rsidRPr="00B848C3">
              <w:t>) din Legea nr.</w:t>
            </w:r>
            <w:r w:rsidR="00106BDF">
              <w:t> </w:t>
            </w:r>
            <w:r w:rsidRPr="00B848C3">
              <w:t>31/1990 privind societățile</w:t>
            </w:r>
            <w:r>
              <w:t xml:space="preserve"> </w:t>
            </w:r>
            <w:r w:rsidR="008E1893">
              <w:t>ș</w:t>
            </w:r>
            <w:r>
              <w:t xml:space="preserve">i </w:t>
            </w:r>
            <w:r w:rsidR="008E1893">
              <w:t>î</w:t>
            </w:r>
            <w:r>
              <w:t xml:space="preserve">n conformitate cu Actul Constitutiv, AGOA are competenta de a </w:t>
            </w:r>
            <w:r w:rsidRPr="00B848C3">
              <w:t>fix</w:t>
            </w:r>
            <w:r>
              <w:t>a</w:t>
            </w:r>
            <w:r w:rsidRPr="00B848C3">
              <w:t xml:space="preserve"> remunerația</w:t>
            </w:r>
            <w:r w:rsidR="00DF6072">
              <w:t xml:space="preserve"> fixă, respectiv variabilă</w:t>
            </w:r>
            <w:r w:rsidRPr="00B848C3">
              <w:t xml:space="preserve"> cuvenită membrilor </w:t>
            </w:r>
            <w:r>
              <w:t>C</w:t>
            </w:r>
            <w:r w:rsidRPr="00B848C3">
              <w:t xml:space="preserve">onsiliului de </w:t>
            </w:r>
            <w:r>
              <w:lastRenderedPageBreak/>
              <w:t>A</w:t>
            </w:r>
            <w:r w:rsidRPr="00B848C3">
              <w:t>dministrație pentru exercițiul în curs</w:t>
            </w:r>
            <w:r w:rsidR="00DF6072">
              <w:t xml:space="preserve">. Remunerația fixă se propune a fi stabilită în cuantum </w:t>
            </w:r>
            <w:r w:rsidR="00527501">
              <w:t>net</w:t>
            </w:r>
            <w:r w:rsidR="00977F21">
              <w:t xml:space="preserve"> </w:t>
            </w:r>
            <w:r w:rsidR="00DF6072">
              <w:t xml:space="preserve">de </w:t>
            </w:r>
            <w:r w:rsidR="00DF6072" w:rsidRPr="00DF6072">
              <w:t>5.000</w:t>
            </w:r>
            <w:r w:rsidR="001B1EB0">
              <w:t> </w:t>
            </w:r>
            <w:r w:rsidR="00DF6072" w:rsidRPr="00DF6072">
              <w:t xml:space="preserve">RON </w:t>
            </w:r>
            <w:r w:rsidR="00DF6072">
              <w:t>pentru fiecare</w:t>
            </w:r>
            <w:r w:rsidR="00DF6072" w:rsidRPr="00DF6072">
              <w:t xml:space="preserve"> membru al Consiliului de Administrație </w:t>
            </w:r>
            <w:r w:rsidR="00DF6072">
              <w:t>ales potrivit punctului</w:t>
            </w:r>
            <w:r w:rsidR="00106BDF">
              <w:t> </w:t>
            </w:r>
            <w:r w:rsidR="00DF6072">
              <w:fldChar w:fldCharType="begin"/>
            </w:r>
            <w:r w:rsidR="00DF6072">
              <w:instrText xml:space="preserve"> REF _Ref117590454 \r \h </w:instrText>
            </w:r>
            <w:r w:rsidR="00DF6072">
              <w:fldChar w:fldCharType="separate"/>
            </w:r>
            <w:r w:rsidR="00DF6072">
              <w:t>2</w:t>
            </w:r>
            <w:r w:rsidR="00DF6072">
              <w:fldChar w:fldCharType="end"/>
            </w:r>
            <w:r w:rsidR="00DF6072">
              <w:t xml:space="preserve"> de mai sus. Remunerația variabilă se </w:t>
            </w:r>
            <w:r w:rsidR="0037218C">
              <w:t xml:space="preserve">calculează și se </w:t>
            </w:r>
            <w:r w:rsidR="00DF6072">
              <w:t>stabilește</w:t>
            </w:r>
            <w:r w:rsidR="0037218C">
              <w:t xml:space="preserve"> pentru fiecare membru al Consiliului de Administrație</w:t>
            </w:r>
            <w:r w:rsidR="00DF6072">
              <w:t xml:space="preserve"> în funcție de prevederile </w:t>
            </w:r>
            <w:r w:rsidR="00DF6072" w:rsidRPr="00DF6072">
              <w:t>program</w:t>
            </w:r>
            <w:r w:rsidR="00DF6072">
              <w:t>ului</w:t>
            </w:r>
            <w:r w:rsidR="00DF6072" w:rsidRPr="00DF6072">
              <w:t xml:space="preserve"> de alocare a acțiunilor (de tip „</w:t>
            </w:r>
            <w:proofErr w:type="spellStart"/>
            <w:r w:rsidR="00DF6072" w:rsidRPr="00DF6072">
              <w:t>stock</w:t>
            </w:r>
            <w:proofErr w:type="spellEnd"/>
            <w:r w:rsidR="00DF6072" w:rsidRPr="00DF6072">
              <w:t xml:space="preserve"> </w:t>
            </w:r>
            <w:proofErr w:type="spellStart"/>
            <w:r w:rsidR="00DF6072" w:rsidRPr="00DF6072">
              <w:t>option</w:t>
            </w:r>
            <w:proofErr w:type="spellEnd"/>
            <w:r w:rsidR="00DF6072" w:rsidRPr="00DF6072">
              <w:t xml:space="preserve"> plan”)</w:t>
            </w:r>
            <w:r w:rsidR="00DF6072">
              <w:t xml:space="preserve"> supus aprobării AGOA potrivit punctului</w:t>
            </w:r>
            <w:r w:rsidR="00106BDF">
              <w:t> </w:t>
            </w:r>
            <w:r w:rsidR="00DF6072">
              <w:fldChar w:fldCharType="begin"/>
            </w:r>
            <w:r w:rsidR="00DF6072">
              <w:instrText xml:space="preserve"> REF _Ref117594069 \r \h </w:instrText>
            </w:r>
            <w:r w:rsidR="00DF6072">
              <w:fldChar w:fldCharType="separate"/>
            </w:r>
            <w:r w:rsidR="00DF6072">
              <w:t>6</w:t>
            </w:r>
            <w:r w:rsidR="00DF6072">
              <w:fldChar w:fldCharType="end"/>
            </w:r>
            <w:r w:rsidR="00DF6072">
              <w:t xml:space="preserve"> de mai jos.</w:t>
            </w:r>
          </w:p>
        </w:tc>
        <w:tc>
          <w:tcPr>
            <w:tcW w:w="4804" w:type="dxa"/>
          </w:tcPr>
          <w:p w14:paraId="22A45195" w14:textId="710AEAC6" w:rsidR="00B848C3" w:rsidRPr="006470A1" w:rsidRDefault="001B1EB0" w:rsidP="006470A1">
            <w:pPr>
              <w:pStyle w:val="BodyText"/>
              <w:spacing w:before="69" w:afterLines="140" w:after="336" w:line="280" w:lineRule="exact"/>
              <w:jc w:val="both"/>
              <w:rPr>
                <w:lang w:val="en-GB"/>
              </w:rPr>
            </w:pPr>
            <w:r>
              <w:rPr>
                <w:lang w:val="en-GB"/>
              </w:rPr>
              <w:lastRenderedPageBreak/>
              <w:t>Pertaining</w:t>
            </w:r>
            <w:r w:rsidRPr="001B1EB0">
              <w:rPr>
                <w:lang w:val="en-GB"/>
              </w:rPr>
              <w:t xml:space="preserve"> </w:t>
            </w:r>
            <w:r>
              <w:rPr>
                <w:lang w:val="en-GB"/>
              </w:rPr>
              <w:t>art.</w:t>
            </w:r>
            <w:r w:rsidRPr="001B1EB0">
              <w:rPr>
                <w:lang w:val="en-GB"/>
              </w:rPr>
              <w:t xml:space="preserve"> 111 para. (2) l</w:t>
            </w:r>
            <w:r>
              <w:rPr>
                <w:lang w:val="en-GB"/>
              </w:rPr>
              <w:t>e</w:t>
            </w:r>
            <w:r w:rsidRPr="001B1EB0">
              <w:rPr>
                <w:lang w:val="en-GB"/>
              </w:rPr>
              <w:t xml:space="preserve">t. c) of Law no. 31/1990 on companies and in accordance with Articles of Association, </w:t>
            </w:r>
            <w:r>
              <w:rPr>
                <w:lang w:val="en-GB"/>
              </w:rPr>
              <w:t>OGMS</w:t>
            </w:r>
            <w:r w:rsidRPr="001B1EB0">
              <w:rPr>
                <w:lang w:val="en-GB"/>
              </w:rPr>
              <w:t xml:space="preserve"> has the </w:t>
            </w:r>
            <w:r>
              <w:rPr>
                <w:lang w:val="en-GB"/>
              </w:rPr>
              <w:t>competence</w:t>
            </w:r>
            <w:r w:rsidRPr="001B1EB0">
              <w:rPr>
                <w:lang w:val="en-GB"/>
              </w:rPr>
              <w:t xml:space="preserve"> to </w:t>
            </w:r>
            <w:r>
              <w:rPr>
                <w:lang w:val="en-GB"/>
              </w:rPr>
              <w:t>approve</w:t>
            </w:r>
            <w:r w:rsidRPr="001B1EB0">
              <w:rPr>
                <w:lang w:val="en-GB"/>
              </w:rPr>
              <w:t xml:space="preserve"> the fixed and variable remuneration </w:t>
            </w:r>
            <w:r>
              <w:rPr>
                <w:lang w:val="en-GB"/>
              </w:rPr>
              <w:t>of</w:t>
            </w:r>
            <w:r w:rsidRPr="001B1EB0">
              <w:rPr>
                <w:lang w:val="en-GB"/>
              </w:rPr>
              <w:t xml:space="preserve"> the members of the </w:t>
            </w:r>
            <w:r w:rsidRPr="001B1EB0">
              <w:rPr>
                <w:lang w:val="en-GB"/>
              </w:rPr>
              <w:lastRenderedPageBreak/>
              <w:t xml:space="preserve">Board of Directors for the current financial year. The fixed remuneration is proposed to be set at a </w:t>
            </w:r>
            <w:r w:rsidR="00527501">
              <w:rPr>
                <w:lang w:val="en-GB"/>
              </w:rPr>
              <w:t>net</w:t>
            </w:r>
            <w:r w:rsidRPr="001B1EB0">
              <w:rPr>
                <w:lang w:val="en-GB"/>
              </w:rPr>
              <w:t xml:space="preserve"> amount of RON</w:t>
            </w:r>
            <w:r>
              <w:rPr>
                <w:lang w:val="en-GB"/>
              </w:rPr>
              <w:t> </w:t>
            </w:r>
            <w:r w:rsidRPr="001B1EB0">
              <w:rPr>
                <w:lang w:val="en-GB"/>
              </w:rPr>
              <w:t xml:space="preserve">5,000 for each member of the Board of Directors </w:t>
            </w:r>
            <w:r w:rsidR="00106BDF">
              <w:rPr>
                <w:lang w:val="en-GB"/>
              </w:rPr>
              <w:t>appointed</w:t>
            </w:r>
            <w:r w:rsidRPr="001B1EB0">
              <w:rPr>
                <w:lang w:val="en-GB"/>
              </w:rPr>
              <w:t xml:space="preserve"> according to </w:t>
            </w:r>
            <w:r w:rsidR="00106BDF">
              <w:rPr>
                <w:lang w:val="en-GB"/>
              </w:rPr>
              <w:t>item</w:t>
            </w:r>
            <w:r w:rsidR="00613C7B">
              <w:rPr>
                <w:lang w:val="en-GB"/>
              </w:rPr>
              <w:t> </w:t>
            </w:r>
            <w:r w:rsidR="00106BDF">
              <w:rPr>
                <w:lang w:val="en-GB"/>
              </w:rPr>
              <w:fldChar w:fldCharType="begin"/>
            </w:r>
            <w:r w:rsidR="00106BDF">
              <w:rPr>
                <w:lang w:val="en-GB"/>
              </w:rPr>
              <w:instrText xml:space="preserve"> REF _Ref117605112 \r \h </w:instrText>
            </w:r>
            <w:r w:rsidR="00106BDF">
              <w:rPr>
                <w:lang w:val="en-GB"/>
              </w:rPr>
            </w:r>
            <w:r w:rsidR="00106BDF">
              <w:rPr>
                <w:lang w:val="en-GB"/>
              </w:rPr>
              <w:fldChar w:fldCharType="separate"/>
            </w:r>
            <w:r w:rsidR="00106BDF">
              <w:rPr>
                <w:lang w:val="en-GB"/>
              </w:rPr>
              <w:t>2</w:t>
            </w:r>
            <w:r w:rsidR="00106BDF">
              <w:rPr>
                <w:lang w:val="en-GB"/>
              </w:rPr>
              <w:fldChar w:fldCharType="end"/>
            </w:r>
            <w:r w:rsidRPr="001B1EB0">
              <w:rPr>
                <w:lang w:val="en-GB"/>
              </w:rPr>
              <w:t xml:space="preserve"> above. The variable remuneration shall be calculated and determined for each member of the Board of Directors according to the provisions of the stock option plan subject to the approval of </w:t>
            </w:r>
            <w:r w:rsidR="00106BDF">
              <w:rPr>
                <w:lang w:val="en-GB"/>
              </w:rPr>
              <w:t>OGMS</w:t>
            </w:r>
            <w:r w:rsidRPr="001B1EB0">
              <w:rPr>
                <w:lang w:val="en-GB"/>
              </w:rPr>
              <w:t xml:space="preserve"> under </w:t>
            </w:r>
            <w:r w:rsidR="00106BDF">
              <w:rPr>
                <w:lang w:val="en-GB"/>
              </w:rPr>
              <w:t>item</w:t>
            </w:r>
            <w:r w:rsidRPr="001B1EB0">
              <w:rPr>
                <w:lang w:val="en-GB"/>
              </w:rPr>
              <w:t xml:space="preserve"> </w:t>
            </w:r>
            <w:r w:rsidR="00106BDF">
              <w:rPr>
                <w:lang w:val="en-GB"/>
              </w:rPr>
              <w:fldChar w:fldCharType="begin"/>
            </w:r>
            <w:r w:rsidR="00106BDF">
              <w:rPr>
                <w:lang w:val="en-GB"/>
              </w:rPr>
              <w:instrText xml:space="preserve"> REF _Ref117605707 \r \h </w:instrText>
            </w:r>
            <w:r w:rsidR="00106BDF">
              <w:rPr>
                <w:lang w:val="en-GB"/>
              </w:rPr>
            </w:r>
            <w:r w:rsidR="00106BDF">
              <w:rPr>
                <w:lang w:val="en-GB"/>
              </w:rPr>
              <w:fldChar w:fldCharType="separate"/>
            </w:r>
            <w:r w:rsidR="00106BDF">
              <w:rPr>
                <w:lang w:val="en-GB"/>
              </w:rPr>
              <w:t>6</w:t>
            </w:r>
            <w:r w:rsidR="00106BDF">
              <w:rPr>
                <w:lang w:val="en-GB"/>
              </w:rPr>
              <w:fldChar w:fldCharType="end"/>
            </w:r>
            <w:r w:rsidRPr="001B1EB0">
              <w:rPr>
                <w:lang w:val="en-GB"/>
              </w:rPr>
              <w:t xml:space="preserve"> below.</w:t>
            </w:r>
          </w:p>
        </w:tc>
      </w:tr>
      <w:tr w:rsidR="00640842" w:rsidRPr="00FA2D06" w14:paraId="35EB6211" w14:textId="77777777" w:rsidTr="006665A7">
        <w:tc>
          <w:tcPr>
            <w:tcW w:w="4803" w:type="dxa"/>
          </w:tcPr>
          <w:p w14:paraId="74B1D544" w14:textId="04EFB0BB" w:rsidR="00640842" w:rsidRPr="00640842" w:rsidRDefault="00527501" w:rsidP="00527501">
            <w:pPr>
              <w:pStyle w:val="BodyText"/>
              <w:spacing w:before="69" w:afterLines="140" w:after="336" w:line="280" w:lineRule="exact"/>
              <w:jc w:val="both"/>
              <w:rPr>
                <w:b/>
                <w:bCs/>
              </w:rPr>
            </w:pPr>
            <w:r>
              <w:rPr>
                <w:b/>
                <w:bCs/>
              </w:rPr>
              <w:lastRenderedPageBreak/>
              <w:t>Punctul 5 de pe ordinea de zi:</w:t>
            </w:r>
          </w:p>
        </w:tc>
        <w:tc>
          <w:tcPr>
            <w:tcW w:w="4804" w:type="dxa"/>
          </w:tcPr>
          <w:p w14:paraId="654F7FEC" w14:textId="6E81DB07" w:rsidR="00640842" w:rsidRPr="00640842" w:rsidRDefault="00527501" w:rsidP="00527501">
            <w:pPr>
              <w:pStyle w:val="BodyText"/>
              <w:spacing w:before="69" w:afterLines="140" w:after="336" w:line="280" w:lineRule="exact"/>
              <w:jc w:val="both"/>
              <w:rPr>
                <w:b/>
                <w:bCs/>
                <w:lang w:val="en-GB"/>
              </w:rPr>
            </w:pPr>
            <w:r>
              <w:rPr>
                <w:b/>
                <w:bCs/>
                <w:lang w:val="en-GB"/>
              </w:rPr>
              <w:t>Item5 on the agenda:</w:t>
            </w:r>
          </w:p>
        </w:tc>
      </w:tr>
      <w:tr w:rsidR="003764B4" w:rsidRPr="00FA2D06" w14:paraId="52445407" w14:textId="77777777" w:rsidTr="006665A7">
        <w:tc>
          <w:tcPr>
            <w:tcW w:w="4803" w:type="dxa"/>
          </w:tcPr>
          <w:p w14:paraId="4C6FFBF6" w14:textId="64662C6F" w:rsidR="003764B4" w:rsidRPr="006470A1" w:rsidRDefault="003764B4" w:rsidP="006470A1">
            <w:pPr>
              <w:pStyle w:val="BodyText"/>
              <w:spacing w:before="69" w:afterLines="140" w:after="336" w:line="280" w:lineRule="exact"/>
              <w:jc w:val="both"/>
            </w:pPr>
            <w:r w:rsidRPr="00621823">
              <w:t>Politica de remunerare a fost aprobată prin hotărârea AGOA nr.</w:t>
            </w:r>
            <w:r w:rsidR="00621823">
              <w:t> </w:t>
            </w:r>
            <w:r w:rsidRPr="00621823">
              <w:t>1/26.04.2021, în conformitate cu prevederile Legii nr.</w:t>
            </w:r>
            <w:r w:rsidR="00621823">
              <w:t> </w:t>
            </w:r>
            <w:r w:rsidRPr="00621823">
              <w:t xml:space="preserve">24/2017 privind emitenții de instrumente financiare și operațiuni de piață. </w:t>
            </w:r>
            <w:r w:rsidR="00E84B52" w:rsidRPr="00621823">
              <w:t>Având</w:t>
            </w:r>
            <w:r w:rsidRPr="00621823">
              <w:t xml:space="preserve"> </w:t>
            </w:r>
            <w:r w:rsidR="00E84B52" w:rsidRPr="00621823">
              <w:t>î</w:t>
            </w:r>
            <w:r w:rsidRPr="00621823">
              <w:t xml:space="preserve">n vedere modificarea organului executiv al </w:t>
            </w:r>
            <w:r w:rsidR="00E84B52" w:rsidRPr="00621823">
              <w:t>Societății</w:t>
            </w:r>
            <w:r w:rsidRPr="00621823">
              <w:t xml:space="preserve"> din Administrator Unic </w:t>
            </w:r>
            <w:r w:rsidR="00DB20FB" w:rsidRPr="00621823">
              <w:t>î</w:t>
            </w:r>
            <w:r w:rsidRPr="00621823">
              <w:t xml:space="preserve">n Consiliu de </w:t>
            </w:r>
            <w:r w:rsidR="00E84B52" w:rsidRPr="00621823">
              <w:t>Administrație</w:t>
            </w:r>
            <w:r w:rsidRPr="00621823">
              <w:t xml:space="preserve"> potrivit punctului</w:t>
            </w:r>
            <w:r w:rsidR="00621823">
              <w:t> </w:t>
            </w:r>
            <w:r w:rsidRPr="00621823">
              <w:fldChar w:fldCharType="begin"/>
            </w:r>
            <w:r w:rsidRPr="00621823">
              <w:instrText xml:space="preserve"> REF _Ref117590454 \r \h </w:instrText>
            </w:r>
            <w:r w:rsidR="008E1893" w:rsidRPr="00621823">
              <w:instrText xml:space="preserve"> \* MERGEFORMAT </w:instrText>
            </w:r>
            <w:r w:rsidRPr="00621823">
              <w:fldChar w:fldCharType="separate"/>
            </w:r>
            <w:r w:rsidRPr="00621823">
              <w:t>2</w:t>
            </w:r>
            <w:r w:rsidRPr="00621823">
              <w:fldChar w:fldCharType="end"/>
            </w:r>
            <w:r w:rsidRPr="00621823">
              <w:t xml:space="preserve"> de mai sus, precum </w:t>
            </w:r>
            <w:r w:rsidR="00DB20FB" w:rsidRPr="00621823">
              <w:t>ș</w:t>
            </w:r>
            <w:r w:rsidRPr="00621823">
              <w:t xml:space="preserve">i aprobarea unui nou pachet de </w:t>
            </w:r>
            <w:r w:rsidR="00E84B52" w:rsidRPr="00621823">
              <w:t>remunerație</w:t>
            </w:r>
            <w:r w:rsidRPr="00621823">
              <w:t xml:space="preserve"> </w:t>
            </w:r>
            <w:r w:rsidR="00DB20FB" w:rsidRPr="00621823">
              <w:t xml:space="preserve">compus din remunerație fixă și remunerație variabilă, </w:t>
            </w:r>
            <w:r w:rsidR="00E84B52" w:rsidRPr="00621823">
              <w:t xml:space="preserve">pentru membrii Consiliului de Administrație </w:t>
            </w:r>
            <w:r w:rsidRPr="00621823">
              <w:t>potrivit punctelor</w:t>
            </w:r>
            <w:r w:rsidR="00621823">
              <w:t> </w:t>
            </w:r>
            <w:r w:rsidRPr="00621823">
              <w:fldChar w:fldCharType="begin"/>
            </w:r>
            <w:r w:rsidRPr="00621823">
              <w:instrText xml:space="preserve"> REF _Ref117594760 \r \h </w:instrText>
            </w:r>
            <w:r w:rsidR="008E1893" w:rsidRPr="00621823">
              <w:instrText xml:space="preserve"> \* MERGEFORMAT </w:instrText>
            </w:r>
            <w:r w:rsidRPr="00621823">
              <w:fldChar w:fldCharType="separate"/>
            </w:r>
            <w:r w:rsidRPr="00621823">
              <w:t>4</w:t>
            </w:r>
            <w:r w:rsidRPr="00621823">
              <w:fldChar w:fldCharType="end"/>
            </w:r>
            <w:r w:rsidR="00621823">
              <w:t> </w:t>
            </w:r>
            <w:r w:rsidRPr="00621823">
              <w:t>si</w:t>
            </w:r>
            <w:r w:rsidR="00621823">
              <w:t> </w:t>
            </w:r>
            <w:r w:rsidRPr="00621823">
              <w:fldChar w:fldCharType="begin"/>
            </w:r>
            <w:r w:rsidRPr="00621823">
              <w:instrText xml:space="preserve"> REF _Ref117594764 \r \h </w:instrText>
            </w:r>
            <w:r w:rsidR="008E1893" w:rsidRPr="00621823">
              <w:instrText xml:space="preserve"> \* MERGEFORMAT </w:instrText>
            </w:r>
            <w:r w:rsidRPr="00621823">
              <w:fldChar w:fldCharType="separate"/>
            </w:r>
            <w:r w:rsidRPr="00621823">
              <w:t>6</w:t>
            </w:r>
            <w:r w:rsidRPr="00621823">
              <w:fldChar w:fldCharType="end"/>
            </w:r>
            <w:r w:rsidRPr="00621823">
              <w:t xml:space="preserve">, se propune actualizarea politicii de remunerare, </w:t>
            </w:r>
            <w:r w:rsidR="00E84B52" w:rsidRPr="00621823">
              <w:t>î</w:t>
            </w:r>
            <w:r w:rsidRPr="00621823">
              <w:t>n forma prezentat</w:t>
            </w:r>
            <w:r w:rsidR="00E84B52" w:rsidRPr="00621823">
              <w:t>ă</w:t>
            </w:r>
            <w:r w:rsidRPr="00621823">
              <w:t xml:space="preserve"> AGOA.</w:t>
            </w:r>
            <w:r w:rsidR="00527501">
              <w:t xml:space="preserve"> Politica de remunerare va cuprinde și informații privind remunerația Directorului General al Societății care va fi numit de Consiliul de Administrație.</w:t>
            </w:r>
          </w:p>
        </w:tc>
        <w:tc>
          <w:tcPr>
            <w:tcW w:w="4804" w:type="dxa"/>
          </w:tcPr>
          <w:p w14:paraId="7F21E468" w14:textId="3D21F198" w:rsidR="003764B4" w:rsidRPr="006470A1" w:rsidRDefault="00621823" w:rsidP="006470A1">
            <w:pPr>
              <w:pStyle w:val="BodyText"/>
              <w:spacing w:before="69" w:afterLines="140" w:after="336" w:line="280" w:lineRule="exact"/>
              <w:jc w:val="both"/>
              <w:rPr>
                <w:lang w:val="en-GB"/>
              </w:rPr>
            </w:pPr>
            <w:r w:rsidRPr="00621823">
              <w:rPr>
                <w:lang w:val="en-GB"/>
              </w:rPr>
              <w:t xml:space="preserve">The remuneration policy was </w:t>
            </w:r>
            <w:r>
              <w:rPr>
                <w:lang w:val="en-GB"/>
              </w:rPr>
              <w:t>approved</w:t>
            </w:r>
            <w:r w:rsidRPr="00621823">
              <w:rPr>
                <w:lang w:val="en-GB"/>
              </w:rPr>
              <w:t xml:space="preserve"> by </w:t>
            </w:r>
            <w:r>
              <w:rPr>
                <w:lang w:val="en-GB"/>
              </w:rPr>
              <w:t>OGMS</w:t>
            </w:r>
            <w:r w:rsidRPr="00621823">
              <w:rPr>
                <w:lang w:val="en-GB"/>
              </w:rPr>
              <w:t xml:space="preserve"> resolution no.</w:t>
            </w:r>
            <w:r>
              <w:rPr>
                <w:lang w:val="en-GB"/>
              </w:rPr>
              <w:t> </w:t>
            </w:r>
            <w:r w:rsidRPr="00621823">
              <w:rPr>
                <w:lang w:val="en-GB"/>
              </w:rPr>
              <w:t>1/26.04.2021, in accordance with provisions of Law no.</w:t>
            </w:r>
            <w:r w:rsidR="007E19A2">
              <w:rPr>
                <w:lang w:val="en-GB"/>
              </w:rPr>
              <w:t> </w:t>
            </w:r>
            <w:r w:rsidRPr="00621823">
              <w:rPr>
                <w:lang w:val="en-GB"/>
              </w:rPr>
              <w:t xml:space="preserve">24/2017 on issuers of financial instruments and market operations. </w:t>
            </w:r>
            <w:r w:rsidR="007E19A2">
              <w:rPr>
                <w:lang w:val="en-GB"/>
              </w:rPr>
              <w:t>Considering the</w:t>
            </w:r>
            <w:r w:rsidRPr="00621823">
              <w:rPr>
                <w:lang w:val="en-GB"/>
              </w:rPr>
              <w:t xml:space="preserve"> change of the Company</w:t>
            </w:r>
            <w:r w:rsidR="007E19A2">
              <w:rPr>
                <w:lang w:val="en-GB"/>
              </w:rPr>
              <w:t>’</w:t>
            </w:r>
            <w:r w:rsidRPr="00621823">
              <w:rPr>
                <w:lang w:val="en-GB"/>
              </w:rPr>
              <w:t xml:space="preserve">s executive body from Sole Director to Board of Directors according to </w:t>
            </w:r>
            <w:r w:rsidR="007E19A2">
              <w:rPr>
                <w:lang w:val="en-GB"/>
              </w:rPr>
              <w:t>item </w:t>
            </w:r>
            <w:r w:rsidR="007E19A2">
              <w:rPr>
                <w:lang w:val="en-GB"/>
              </w:rPr>
              <w:fldChar w:fldCharType="begin"/>
            </w:r>
            <w:r w:rsidR="007E19A2">
              <w:rPr>
                <w:lang w:val="en-GB"/>
              </w:rPr>
              <w:instrText xml:space="preserve"> REF _Ref117605112 \r \h </w:instrText>
            </w:r>
            <w:r w:rsidR="007E19A2">
              <w:rPr>
                <w:lang w:val="en-GB"/>
              </w:rPr>
            </w:r>
            <w:r w:rsidR="007E19A2">
              <w:rPr>
                <w:lang w:val="en-GB"/>
              </w:rPr>
              <w:fldChar w:fldCharType="separate"/>
            </w:r>
            <w:r w:rsidR="007E19A2">
              <w:rPr>
                <w:lang w:val="en-GB"/>
              </w:rPr>
              <w:t>2</w:t>
            </w:r>
            <w:r w:rsidR="007E19A2">
              <w:rPr>
                <w:lang w:val="en-GB"/>
              </w:rPr>
              <w:fldChar w:fldCharType="end"/>
            </w:r>
            <w:r w:rsidRPr="00621823">
              <w:rPr>
                <w:lang w:val="en-GB"/>
              </w:rPr>
              <w:t xml:space="preserve"> above, as well as the approval of a new remuneration package consisting of fixed remuneration and variable remuneration, for the members of the Board of Directors according to points</w:t>
            </w:r>
            <w:r w:rsidR="007E19A2">
              <w:rPr>
                <w:lang w:val="en-GB"/>
              </w:rPr>
              <w:t> </w:t>
            </w:r>
            <w:r w:rsidR="007E19A2">
              <w:rPr>
                <w:lang w:val="en-GB"/>
              </w:rPr>
              <w:fldChar w:fldCharType="begin"/>
            </w:r>
            <w:r w:rsidR="007E19A2">
              <w:rPr>
                <w:lang w:val="en-GB"/>
              </w:rPr>
              <w:instrText xml:space="preserve"> REF _Ref117605872 \r \h </w:instrText>
            </w:r>
            <w:r w:rsidR="007E19A2">
              <w:rPr>
                <w:lang w:val="en-GB"/>
              </w:rPr>
            </w:r>
            <w:r w:rsidR="007E19A2">
              <w:rPr>
                <w:lang w:val="en-GB"/>
              </w:rPr>
              <w:fldChar w:fldCharType="separate"/>
            </w:r>
            <w:r w:rsidR="007E19A2">
              <w:rPr>
                <w:lang w:val="en-GB"/>
              </w:rPr>
              <w:t>4</w:t>
            </w:r>
            <w:r w:rsidR="007E19A2">
              <w:rPr>
                <w:lang w:val="en-GB"/>
              </w:rPr>
              <w:fldChar w:fldCharType="end"/>
            </w:r>
            <w:r w:rsidR="007E19A2">
              <w:rPr>
                <w:lang w:val="en-GB"/>
              </w:rPr>
              <w:t> </w:t>
            </w:r>
            <w:r w:rsidRPr="00621823">
              <w:rPr>
                <w:lang w:val="en-GB"/>
              </w:rPr>
              <w:t>and</w:t>
            </w:r>
            <w:r w:rsidR="007E19A2">
              <w:rPr>
                <w:lang w:val="en-GB"/>
              </w:rPr>
              <w:t> </w:t>
            </w:r>
            <w:r w:rsidR="007E19A2">
              <w:rPr>
                <w:lang w:val="en-GB"/>
              </w:rPr>
              <w:fldChar w:fldCharType="begin"/>
            </w:r>
            <w:r w:rsidR="007E19A2">
              <w:rPr>
                <w:lang w:val="en-GB"/>
              </w:rPr>
              <w:instrText xml:space="preserve"> REF _Ref117605707 \r \h </w:instrText>
            </w:r>
            <w:r w:rsidR="007E19A2">
              <w:rPr>
                <w:lang w:val="en-GB"/>
              </w:rPr>
            </w:r>
            <w:r w:rsidR="007E19A2">
              <w:rPr>
                <w:lang w:val="en-GB"/>
              </w:rPr>
              <w:fldChar w:fldCharType="separate"/>
            </w:r>
            <w:r w:rsidR="007E19A2">
              <w:rPr>
                <w:lang w:val="en-GB"/>
              </w:rPr>
              <w:t>6</w:t>
            </w:r>
            <w:r w:rsidR="007E19A2">
              <w:rPr>
                <w:lang w:val="en-GB"/>
              </w:rPr>
              <w:fldChar w:fldCharType="end"/>
            </w:r>
            <w:r w:rsidRPr="00621823">
              <w:rPr>
                <w:lang w:val="en-GB"/>
              </w:rPr>
              <w:t xml:space="preserve">, it is proposed to update the remuneration policy, as presented to </w:t>
            </w:r>
            <w:r w:rsidR="007E19A2">
              <w:rPr>
                <w:lang w:val="en-GB"/>
              </w:rPr>
              <w:t>OGMS</w:t>
            </w:r>
            <w:r w:rsidRPr="00621823">
              <w:rPr>
                <w:lang w:val="en-GB"/>
              </w:rPr>
              <w:t>.</w:t>
            </w:r>
            <w:r w:rsidR="00527501">
              <w:rPr>
                <w:lang w:val="en-GB"/>
              </w:rPr>
              <w:t xml:space="preserve"> The remuneration policy will also include information on the remuneration of the General Manager which will be appointed by the Board of Directors.</w:t>
            </w:r>
          </w:p>
        </w:tc>
      </w:tr>
      <w:tr w:rsidR="00640842" w:rsidRPr="00FA2D06" w14:paraId="17812CC0" w14:textId="77777777" w:rsidTr="006665A7">
        <w:tc>
          <w:tcPr>
            <w:tcW w:w="4803" w:type="dxa"/>
          </w:tcPr>
          <w:p w14:paraId="221DFE25" w14:textId="4E09C40C" w:rsidR="00640842" w:rsidRPr="00640842" w:rsidRDefault="00527501" w:rsidP="00527501">
            <w:pPr>
              <w:pStyle w:val="BodyText"/>
              <w:spacing w:before="69" w:afterLines="140" w:after="336" w:line="280" w:lineRule="exact"/>
              <w:jc w:val="both"/>
              <w:rPr>
                <w:b/>
                <w:bCs/>
              </w:rPr>
            </w:pPr>
            <w:r>
              <w:rPr>
                <w:b/>
                <w:bCs/>
              </w:rPr>
              <w:t>Punctul 6 de pe ordinea de zi:</w:t>
            </w:r>
          </w:p>
        </w:tc>
        <w:tc>
          <w:tcPr>
            <w:tcW w:w="4804" w:type="dxa"/>
          </w:tcPr>
          <w:p w14:paraId="73AB8E5B" w14:textId="6FBB1DF1" w:rsidR="00640842" w:rsidRPr="00640842" w:rsidRDefault="00527501" w:rsidP="00527501">
            <w:pPr>
              <w:pStyle w:val="BodyText"/>
              <w:spacing w:before="69" w:afterLines="140" w:after="336" w:line="280" w:lineRule="exact"/>
              <w:jc w:val="both"/>
              <w:rPr>
                <w:b/>
                <w:bCs/>
                <w:lang w:val="en-GB"/>
              </w:rPr>
            </w:pPr>
            <w:r>
              <w:rPr>
                <w:b/>
                <w:bCs/>
                <w:lang w:val="en-GB"/>
              </w:rPr>
              <w:t>Item 6 on the agenda:</w:t>
            </w:r>
          </w:p>
        </w:tc>
      </w:tr>
      <w:tr w:rsidR="00E84B52" w:rsidRPr="00FA2D06" w14:paraId="3C7EE0DA" w14:textId="77777777" w:rsidTr="006665A7">
        <w:tc>
          <w:tcPr>
            <w:tcW w:w="4803" w:type="dxa"/>
          </w:tcPr>
          <w:p w14:paraId="605D9AE6" w14:textId="77777777" w:rsidR="0030265F" w:rsidRDefault="008E1893" w:rsidP="006470A1">
            <w:pPr>
              <w:pStyle w:val="BodyText"/>
              <w:spacing w:before="69" w:after="0" w:line="280" w:lineRule="exact"/>
              <w:jc w:val="both"/>
            </w:pPr>
            <w:r w:rsidRPr="00B848C3">
              <w:t xml:space="preserve">Potrivit </w:t>
            </w:r>
            <w:r>
              <w:t xml:space="preserve">prevederilor Actului Constitutiv, AGOA are competența de a adopta </w:t>
            </w:r>
            <w:r w:rsidRPr="008E1893">
              <w:t>program</w:t>
            </w:r>
            <w:r>
              <w:t>ul</w:t>
            </w:r>
            <w:r w:rsidRPr="008E1893">
              <w:t xml:space="preserve"> de alocare a acțiunilor (de tip „</w:t>
            </w:r>
            <w:proofErr w:type="spellStart"/>
            <w:r w:rsidRPr="008E1893">
              <w:t>stock</w:t>
            </w:r>
            <w:proofErr w:type="spellEnd"/>
            <w:r w:rsidRPr="008E1893">
              <w:t xml:space="preserve"> </w:t>
            </w:r>
            <w:proofErr w:type="spellStart"/>
            <w:r w:rsidRPr="008E1893">
              <w:t>option</w:t>
            </w:r>
            <w:proofErr w:type="spellEnd"/>
            <w:r w:rsidRPr="008E1893">
              <w:t xml:space="preserve"> plan”)</w:t>
            </w:r>
            <w:r w:rsidR="000D5767">
              <w:t xml:space="preserve"> (</w:t>
            </w:r>
            <w:r w:rsidR="000D5767" w:rsidRPr="00527501">
              <w:t>“</w:t>
            </w:r>
            <w:r w:rsidR="000D5767" w:rsidRPr="00527501">
              <w:rPr>
                <w:b/>
                <w:bCs/>
              </w:rPr>
              <w:t>Planul</w:t>
            </w:r>
            <w:r w:rsidR="000D5767" w:rsidRPr="00527501">
              <w:t>”</w:t>
            </w:r>
            <w:r w:rsidR="000D5767">
              <w:t>)</w:t>
            </w:r>
            <w:r>
              <w:t xml:space="preserve">, </w:t>
            </w:r>
            <w:r w:rsidRPr="008E1893">
              <w:t>cu intenția de a reglementa termenii și condițiile pentru a recompensa, menține și motiva angajații cu roluri cheie și personalul care ocupă funcții de conducere în cadrul Societății</w:t>
            </w:r>
            <w:r w:rsidR="000D5767">
              <w:t>,</w:t>
            </w:r>
            <w:r w:rsidRPr="008E1893">
              <w:t xml:space="preserve"> în forma acordării </w:t>
            </w:r>
            <w:r w:rsidR="0061598B">
              <w:t xml:space="preserve">dreptului de a dobândi cu titlu gratuit un număr de acțiuni în Societate, în conformitate cu mecanismul prezentat în </w:t>
            </w:r>
            <w:r w:rsidR="000D5767">
              <w:t>Plan</w:t>
            </w:r>
            <w:r>
              <w:t>.</w:t>
            </w:r>
            <w:r w:rsidR="0061598B">
              <w:t xml:space="preserve"> </w:t>
            </w:r>
          </w:p>
          <w:p w14:paraId="28F7F8BE" w14:textId="7592F2CA" w:rsidR="0030265F" w:rsidRDefault="0030265F" w:rsidP="006470A1">
            <w:pPr>
              <w:pStyle w:val="BodyText"/>
              <w:spacing w:before="69" w:after="0" w:line="280" w:lineRule="exact"/>
              <w:jc w:val="both"/>
            </w:pPr>
            <w:r>
              <w:t>T</w:t>
            </w:r>
            <w:r w:rsidRPr="0030265F">
              <w:t xml:space="preserve">ermenii utilizați, dar care nu sunt altfel definiți </w:t>
            </w:r>
            <w:r>
              <w:t xml:space="preserve">prin </w:t>
            </w:r>
            <w:r w:rsidR="00DB20FB">
              <w:t>prezenta</w:t>
            </w:r>
            <w:r w:rsidRPr="0030265F">
              <w:t xml:space="preserve">, au </w:t>
            </w:r>
            <w:r w:rsidR="00DB20FB">
              <w:t>înțelesul</w:t>
            </w:r>
            <w:r w:rsidRPr="0030265F">
              <w:t xml:space="preserve"> care le </w:t>
            </w:r>
            <w:r>
              <w:t>este</w:t>
            </w:r>
            <w:r w:rsidRPr="0030265F">
              <w:t xml:space="preserve"> atribuit î</w:t>
            </w:r>
            <w:r>
              <w:t>n Plan</w:t>
            </w:r>
            <w:r w:rsidRPr="0030265F">
              <w:t>.</w:t>
            </w:r>
            <w:r>
              <w:t xml:space="preserve"> </w:t>
            </w:r>
          </w:p>
          <w:p w14:paraId="196CD94B" w14:textId="239B7CEB" w:rsidR="00E84B52" w:rsidRPr="006470A1" w:rsidRDefault="00F52EA8" w:rsidP="006470A1">
            <w:pPr>
              <w:pStyle w:val="BodyText"/>
              <w:spacing w:before="69" w:after="0" w:line="280" w:lineRule="exact"/>
              <w:jc w:val="both"/>
            </w:pPr>
            <w:r w:rsidRPr="00F52EA8">
              <w:t xml:space="preserve">Prin </w:t>
            </w:r>
            <w:r w:rsidR="000D5767">
              <w:t xml:space="preserve">Plan </w:t>
            </w:r>
            <w:r>
              <w:t xml:space="preserve">se propun drept beneficiari următoarele persoane: </w:t>
            </w:r>
            <w:r w:rsidR="0030265F" w:rsidRPr="0030265F">
              <w:t>Administratorii Eligibili, Inițiatorii Eligibili, Directorii Eligibili și Angajații Eligibili</w:t>
            </w:r>
            <w:r w:rsidRPr="00F52EA8">
              <w:t xml:space="preserve">. Se propune aprobarea </w:t>
            </w:r>
            <w:r w:rsidR="000D5767">
              <w:t>Planului</w:t>
            </w:r>
            <w:r w:rsidRPr="006470A1">
              <w:t xml:space="preserve"> </w:t>
            </w:r>
            <w:r w:rsidR="000D5767">
              <w:t>î</w:t>
            </w:r>
            <w:r w:rsidRPr="006470A1">
              <w:t>n forma prezentat</w:t>
            </w:r>
            <w:r w:rsidR="000D5767">
              <w:t>ă</w:t>
            </w:r>
            <w:r w:rsidRPr="006470A1">
              <w:t xml:space="preserve"> AGOA.</w:t>
            </w:r>
          </w:p>
        </w:tc>
        <w:tc>
          <w:tcPr>
            <w:tcW w:w="4804" w:type="dxa"/>
          </w:tcPr>
          <w:p w14:paraId="240FB089" w14:textId="6779BD6C" w:rsidR="007E19A2" w:rsidRPr="007E19A2" w:rsidRDefault="007E19A2" w:rsidP="007E19A2">
            <w:pPr>
              <w:pStyle w:val="BodyText"/>
              <w:spacing w:before="69" w:afterLines="50" w:line="280" w:lineRule="exact"/>
              <w:jc w:val="both"/>
              <w:rPr>
                <w:lang w:val="en-GB"/>
              </w:rPr>
            </w:pPr>
            <w:r w:rsidRPr="007E19A2">
              <w:rPr>
                <w:lang w:val="en-GB"/>
              </w:rPr>
              <w:t xml:space="preserve">Under the provisions of the Articles of </w:t>
            </w:r>
            <w:r>
              <w:rPr>
                <w:lang w:val="en-GB"/>
              </w:rPr>
              <w:t>Association</w:t>
            </w:r>
            <w:r w:rsidRPr="007E19A2">
              <w:rPr>
                <w:lang w:val="en-GB"/>
              </w:rPr>
              <w:t xml:space="preserve">, </w:t>
            </w:r>
            <w:r>
              <w:rPr>
                <w:lang w:val="en-GB"/>
              </w:rPr>
              <w:t xml:space="preserve">OGMS </w:t>
            </w:r>
            <w:r w:rsidRPr="007E19A2">
              <w:rPr>
                <w:lang w:val="en-GB"/>
              </w:rPr>
              <w:t xml:space="preserve">has the </w:t>
            </w:r>
            <w:r>
              <w:rPr>
                <w:lang w:val="en-GB"/>
              </w:rPr>
              <w:t>competence</w:t>
            </w:r>
            <w:r w:rsidRPr="007E19A2">
              <w:rPr>
                <w:lang w:val="en-GB"/>
              </w:rPr>
              <w:t xml:space="preserve"> to </w:t>
            </w:r>
            <w:r>
              <w:rPr>
                <w:lang w:val="en-GB"/>
              </w:rPr>
              <w:t>resolve</w:t>
            </w:r>
            <w:r w:rsidRPr="007E19A2">
              <w:rPr>
                <w:lang w:val="en-GB"/>
              </w:rPr>
              <w:t xml:space="preserve"> the stock option plan (the </w:t>
            </w:r>
            <w:r>
              <w:rPr>
                <w:lang w:val="en-GB"/>
              </w:rPr>
              <w:t>“</w:t>
            </w:r>
            <w:r w:rsidRPr="007E19A2">
              <w:rPr>
                <w:b/>
                <w:bCs/>
                <w:lang w:val="en-GB"/>
              </w:rPr>
              <w:t>Plan</w:t>
            </w:r>
            <w:r>
              <w:rPr>
                <w:b/>
                <w:bCs/>
                <w:lang w:val="en-GB"/>
              </w:rPr>
              <w:t>”</w:t>
            </w:r>
            <w:r w:rsidRPr="007E19A2">
              <w:rPr>
                <w:lang w:val="en-GB"/>
              </w:rPr>
              <w:t xml:space="preserve">), with the </w:t>
            </w:r>
            <w:r w:rsidR="008519DB">
              <w:rPr>
                <w:lang w:val="en-GB"/>
              </w:rPr>
              <w:t>purpose</w:t>
            </w:r>
            <w:r w:rsidRPr="007E19A2">
              <w:rPr>
                <w:lang w:val="en-GB"/>
              </w:rPr>
              <w:t xml:space="preserve"> of regulating the terms and conditions to reward, retain and motivate key employees and personnel holding senior management positions in the Company, in the form of granting the right to acquire a number of shares in the Company free of charge, in accordance with the mechanism set out in the Plan. </w:t>
            </w:r>
          </w:p>
          <w:p w14:paraId="08F42C99" w14:textId="426CAF0C" w:rsidR="007E19A2" w:rsidRPr="007E19A2" w:rsidRDefault="007E19A2" w:rsidP="007E19A2">
            <w:pPr>
              <w:pStyle w:val="BodyText"/>
              <w:spacing w:before="69" w:afterLines="50" w:line="280" w:lineRule="exact"/>
              <w:jc w:val="both"/>
              <w:rPr>
                <w:lang w:val="en-GB"/>
              </w:rPr>
            </w:pPr>
            <w:r w:rsidRPr="007E19A2">
              <w:rPr>
                <w:lang w:val="en-GB"/>
              </w:rPr>
              <w:t xml:space="preserve">Terms used but not otherwise defined herein shall have the meaning ascribed to them in the Plan. </w:t>
            </w:r>
          </w:p>
          <w:p w14:paraId="7FD8D561" w14:textId="6AE32086" w:rsidR="00E84B52" w:rsidRPr="006470A1" w:rsidRDefault="007E19A2" w:rsidP="007E19A2">
            <w:pPr>
              <w:pStyle w:val="BodyText"/>
              <w:spacing w:before="69" w:afterLines="50" w:line="280" w:lineRule="exact"/>
              <w:jc w:val="both"/>
              <w:rPr>
                <w:lang w:val="en-GB"/>
              </w:rPr>
            </w:pPr>
            <w:r w:rsidRPr="007E19A2">
              <w:rPr>
                <w:lang w:val="en-GB"/>
              </w:rPr>
              <w:t xml:space="preserve">The Plan proposes the following persons as beneficiaries: Eligible Directors, Eligible Initiators, Eligible </w:t>
            </w:r>
            <w:r w:rsidR="001238F3">
              <w:rPr>
                <w:lang w:val="en-GB"/>
              </w:rPr>
              <w:t>Managers</w:t>
            </w:r>
            <w:r w:rsidRPr="007E19A2">
              <w:rPr>
                <w:lang w:val="en-GB"/>
              </w:rPr>
              <w:t xml:space="preserve"> and Eligible Employees. It is proposed to approve the Plan as presented to</w:t>
            </w:r>
            <w:r w:rsidR="008E5FE8">
              <w:rPr>
                <w:lang w:val="en-GB"/>
              </w:rPr>
              <w:t xml:space="preserve"> the</w:t>
            </w:r>
            <w:r w:rsidRPr="007E19A2">
              <w:rPr>
                <w:lang w:val="en-GB"/>
              </w:rPr>
              <w:t xml:space="preserve"> </w:t>
            </w:r>
            <w:r w:rsidR="001238F3">
              <w:rPr>
                <w:lang w:val="en-GB"/>
              </w:rPr>
              <w:t>OGMS</w:t>
            </w:r>
            <w:r w:rsidRPr="007E19A2">
              <w:rPr>
                <w:lang w:val="en-GB"/>
              </w:rPr>
              <w:t>.</w:t>
            </w:r>
          </w:p>
        </w:tc>
      </w:tr>
      <w:tr w:rsidR="00640842" w:rsidRPr="00FA2D06" w14:paraId="19EC02F7" w14:textId="77777777" w:rsidTr="006665A7">
        <w:tc>
          <w:tcPr>
            <w:tcW w:w="4803" w:type="dxa"/>
          </w:tcPr>
          <w:p w14:paraId="5CE7A483" w14:textId="61C1EE1F" w:rsidR="00640842" w:rsidRPr="00640842" w:rsidRDefault="00527501" w:rsidP="00527501">
            <w:pPr>
              <w:pStyle w:val="BodyText"/>
              <w:spacing w:before="69" w:afterLines="140" w:after="336" w:line="280" w:lineRule="exact"/>
              <w:jc w:val="both"/>
              <w:rPr>
                <w:b/>
                <w:bCs/>
              </w:rPr>
            </w:pPr>
            <w:r>
              <w:rPr>
                <w:b/>
                <w:bCs/>
              </w:rPr>
              <w:lastRenderedPageBreak/>
              <w:t>Punctul 7 de pe ordinea de zi:</w:t>
            </w:r>
          </w:p>
        </w:tc>
        <w:tc>
          <w:tcPr>
            <w:tcW w:w="4804" w:type="dxa"/>
          </w:tcPr>
          <w:p w14:paraId="3D9F0E15" w14:textId="2585B286" w:rsidR="00640842" w:rsidRPr="00640842" w:rsidRDefault="00527501" w:rsidP="00527501">
            <w:pPr>
              <w:pStyle w:val="BodyText"/>
              <w:spacing w:before="69" w:afterLines="140" w:after="336" w:line="280" w:lineRule="exact"/>
              <w:jc w:val="both"/>
              <w:rPr>
                <w:b/>
                <w:bCs/>
                <w:lang w:val="en-GB"/>
              </w:rPr>
            </w:pPr>
            <w:r>
              <w:rPr>
                <w:b/>
                <w:bCs/>
                <w:lang w:val="en-GB"/>
              </w:rPr>
              <w:t>Item 7 on the agenda:</w:t>
            </w:r>
          </w:p>
        </w:tc>
      </w:tr>
      <w:tr w:rsidR="00E84B52" w:rsidRPr="00FA2D06" w14:paraId="31F87E79" w14:textId="77777777" w:rsidTr="006665A7">
        <w:tc>
          <w:tcPr>
            <w:tcW w:w="4803" w:type="dxa"/>
          </w:tcPr>
          <w:p w14:paraId="0564D405" w14:textId="7F19488F" w:rsidR="0030265F" w:rsidRPr="00542715" w:rsidRDefault="0030265F" w:rsidP="006470A1">
            <w:pPr>
              <w:pStyle w:val="BodyText"/>
              <w:spacing w:before="69" w:after="140" w:line="280" w:lineRule="exact"/>
              <w:jc w:val="both"/>
              <w:rPr>
                <w:rFonts w:asciiTheme="minorHAnsi" w:hAnsiTheme="minorHAnsi" w:cstheme="minorHAnsi"/>
              </w:rPr>
            </w:pPr>
            <w:r w:rsidRPr="00542715">
              <w:rPr>
                <w:rFonts w:asciiTheme="minorHAnsi" w:hAnsiTheme="minorHAnsi" w:cstheme="minorHAnsi"/>
              </w:rPr>
              <w:t>Cu privire la exercițiul financiar care se va încheia la 31</w:t>
            </w:r>
            <w:r w:rsidR="00293202" w:rsidRPr="00542715">
              <w:rPr>
                <w:rFonts w:asciiTheme="minorHAnsi" w:hAnsiTheme="minorHAnsi" w:cstheme="minorHAnsi"/>
              </w:rPr>
              <w:t> </w:t>
            </w:r>
            <w:r w:rsidRPr="00542715">
              <w:rPr>
                <w:rFonts w:asciiTheme="minorHAnsi" w:hAnsiTheme="minorHAnsi" w:cstheme="minorHAnsi"/>
              </w:rPr>
              <w:t>decembrie</w:t>
            </w:r>
            <w:r w:rsidR="00293202" w:rsidRPr="00542715">
              <w:rPr>
                <w:rFonts w:asciiTheme="minorHAnsi" w:hAnsiTheme="minorHAnsi" w:cstheme="minorHAnsi"/>
              </w:rPr>
              <w:t> </w:t>
            </w:r>
            <w:r w:rsidRPr="00542715">
              <w:rPr>
                <w:rFonts w:asciiTheme="minorHAnsi" w:hAnsiTheme="minorHAnsi" w:cstheme="minorHAnsi"/>
              </w:rPr>
              <w:t>2022, numărul total de Acțiuni care pot deveni disponibile pentru a fi dobândite de Participanții Eligibili conform Plan</w:t>
            </w:r>
            <w:r w:rsidR="000640EE" w:rsidRPr="00542715">
              <w:rPr>
                <w:rFonts w:asciiTheme="minorHAnsi" w:hAnsiTheme="minorHAnsi" w:cstheme="minorHAnsi"/>
              </w:rPr>
              <w:t>ului</w:t>
            </w:r>
            <w:r w:rsidRPr="00542715">
              <w:rPr>
                <w:rFonts w:asciiTheme="minorHAnsi" w:hAnsiTheme="minorHAnsi" w:cstheme="minorHAnsi"/>
              </w:rPr>
              <w:t xml:space="preserve"> variază în funcție de gradul de îndeplinire a Condițiilor de Performanță Generale, astfel:</w:t>
            </w:r>
          </w:p>
          <w:p w14:paraId="08267B0B" w14:textId="4D329B0C" w:rsidR="0030265F" w:rsidRPr="00542715" w:rsidRDefault="0030265F" w:rsidP="006470A1">
            <w:pPr>
              <w:pStyle w:val="BodyText"/>
              <w:numPr>
                <w:ilvl w:val="0"/>
                <w:numId w:val="28"/>
              </w:numPr>
              <w:spacing w:before="69" w:after="140" w:line="280" w:lineRule="exact"/>
              <w:ind w:left="430"/>
              <w:jc w:val="both"/>
              <w:rPr>
                <w:rFonts w:asciiTheme="minorHAnsi" w:hAnsiTheme="minorHAnsi" w:cstheme="minorHAnsi"/>
              </w:rPr>
            </w:pPr>
            <w:r w:rsidRPr="00542715">
              <w:rPr>
                <w:rFonts w:asciiTheme="minorHAnsi" w:hAnsiTheme="minorHAnsi" w:cstheme="minorHAnsi"/>
              </w:rPr>
              <w:t xml:space="preserve">0 (zero) Acțiuni în cazul în care, cu privire </w:t>
            </w:r>
            <w:r w:rsidR="000640EE" w:rsidRPr="00542715">
              <w:rPr>
                <w:rFonts w:asciiTheme="minorHAnsi" w:hAnsiTheme="minorHAnsi" w:cstheme="minorHAnsi"/>
              </w:rPr>
              <w:t>exercițiul financiar care se va încheia la 31</w:t>
            </w:r>
            <w:r w:rsidR="00293202" w:rsidRPr="00542715">
              <w:rPr>
                <w:rFonts w:asciiTheme="minorHAnsi" w:hAnsiTheme="minorHAnsi" w:cstheme="minorHAnsi"/>
              </w:rPr>
              <w:t> </w:t>
            </w:r>
            <w:r w:rsidR="000640EE" w:rsidRPr="00542715">
              <w:rPr>
                <w:rFonts w:asciiTheme="minorHAnsi" w:hAnsiTheme="minorHAnsi" w:cstheme="minorHAnsi"/>
              </w:rPr>
              <w:t>decembrie</w:t>
            </w:r>
            <w:r w:rsidR="00293202" w:rsidRPr="00542715">
              <w:rPr>
                <w:rFonts w:asciiTheme="minorHAnsi" w:hAnsiTheme="minorHAnsi" w:cstheme="minorHAnsi"/>
              </w:rPr>
              <w:t> </w:t>
            </w:r>
            <w:r w:rsidR="000640EE" w:rsidRPr="00542715">
              <w:rPr>
                <w:rFonts w:asciiTheme="minorHAnsi" w:hAnsiTheme="minorHAnsi" w:cstheme="minorHAnsi"/>
              </w:rPr>
              <w:t>2022</w:t>
            </w:r>
            <w:r w:rsidRPr="00542715">
              <w:rPr>
                <w:rFonts w:asciiTheme="minorHAnsi" w:hAnsiTheme="minorHAnsi" w:cstheme="minorHAnsi"/>
              </w:rPr>
              <w:t>, Profitul este mai mic sau egal cu 0 (zero) RON; sau</w:t>
            </w:r>
          </w:p>
          <w:p w14:paraId="045DEAD9" w14:textId="73499F98" w:rsidR="00E84B52" w:rsidRPr="00542715" w:rsidRDefault="0030265F" w:rsidP="000640EE">
            <w:pPr>
              <w:pStyle w:val="BodyText"/>
              <w:numPr>
                <w:ilvl w:val="0"/>
                <w:numId w:val="28"/>
              </w:numPr>
              <w:spacing w:before="69" w:afterLines="50" w:line="280" w:lineRule="exact"/>
              <w:ind w:left="430"/>
              <w:jc w:val="both"/>
              <w:rPr>
                <w:rFonts w:asciiTheme="minorHAnsi" w:hAnsiTheme="minorHAnsi" w:cstheme="minorHAnsi"/>
              </w:rPr>
            </w:pPr>
            <w:r w:rsidRPr="00542715">
              <w:rPr>
                <w:rFonts w:asciiTheme="minorHAnsi" w:hAnsiTheme="minorHAnsi" w:cstheme="minorHAnsi"/>
              </w:rPr>
              <w:t xml:space="preserve">dacă </w:t>
            </w:r>
            <w:r w:rsidR="000640EE" w:rsidRPr="00542715">
              <w:rPr>
                <w:rFonts w:asciiTheme="minorHAnsi" w:hAnsiTheme="minorHAnsi" w:cstheme="minorHAnsi"/>
              </w:rPr>
              <w:t>în exercițiul financiar care se va încheia la 31</w:t>
            </w:r>
            <w:r w:rsidR="00293202" w:rsidRPr="00542715">
              <w:rPr>
                <w:rFonts w:asciiTheme="minorHAnsi" w:hAnsiTheme="minorHAnsi" w:cstheme="minorHAnsi"/>
              </w:rPr>
              <w:t> </w:t>
            </w:r>
            <w:r w:rsidR="000640EE" w:rsidRPr="00542715">
              <w:rPr>
                <w:rFonts w:asciiTheme="minorHAnsi" w:hAnsiTheme="minorHAnsi" w:cstheme="minorHAnsi"/>
              </w:rPr>
              <w:t>decembrie</w:t>
            </w:r>
            <w:r w:rsidR="00293202" w:rsidRPr="00542715">
              <w:rPr>
                <w:rFonts w:asciiTheme="minorHAnsi" w:hAnsiTheme="minorHAnsi" w:cstheme="minorHAnsi"/>
              </w:rPr>
              <w:t> </w:t>
            </w:r>
            <w:r w:rsidR="000640EE" w:rsidRPr="00542715">
              <w:rPr>
                <w:rFonts w:asciiTheme="minorHAnsi" w:hAnsiTheme="minorHAnsi" w:cstheme="minorHAnsi"/>
              </w:rPr>
              <w:t>2022</w:t>
            </w:r>
            <w:r w:rsidRPr="00542715">
              <w:rPr>
                <w:rFonts w:asciiTheme="minorHAnsi" w:hAnsiTheme="minorHAnsi" w:cstheme="minorHAnsi"/>
              </w:rPr>
              <w:t xml:space="preserve">, Profitul este mai mare decât 0 (zero) RON, un număr variabil de Acțiuni ce reprezintă un procent din Acțiunile din capitalul social al Societății de la </w:t>
            </w:r>
            <w:r w:rsidR="000640EE" w:rsidRPr="00542715">
              <w:rPr>
                <w:rFonts w:asciiTheme="minorHAnsi" w:hAnsiTheme="minorHAnsi" w:cstheme="minorHAnsi"/>
              </w:rPr>
              <w:t>1</w:t>
            </w:r>
            <w:r w:rsidR="00293202" w:rsidRPr="00542715">
              <w:rPr>
                <w:rFonts w:asciiTheme="minorHAnsi" w:hAnsiTheme="minorHAnsi" w:cstheme="minorHAnsi"/>
              </w:rPr>
              <w:t> </w:t>
            </w:r>
            <w:r w:rsidR="000640EE" w:rsidRPr="00542715">
              <w:rPr>
                <w:rFonts w:asciiTheme="minorHAnsi" w:hAnsiTheme="minorHAnsi" w:cstheme="minorHAnsi"/>
              </w:rPr>
              <w:t>ianuarie</w:t>
            </w:r>
            <w:r w:rsidR="00293202" w:rsidRPr="00542715">
              <w:rPr>
                <w:rFonts w:asciiTheme="minorHAnsi" w:hAnsiTheme="minorHAnsi" w:cstheme="minorHAnsi"/>
              </w:rPr>
              <w:t> </w:t>
            </w:r>
            <w:r w:rsidR="000640EE" w:rsidRPr="00542715">
              <w:rPr>
                <w:rFonts w:asciiTheme="minorHAnsi" w:hAnsiTheme="minorHAnsi" w:cstheme="minorHAnsi"/>
              </w:rPr>
              <w:t>2022</w:t>
            </w:r>
            <w:r w:rsidRPr="00542715">
              <w:rPr>
                <w:rFonts w:asciiTheme="minorHAnsi" w:hAnsiTheme="minorHAnsi" w:cstheme="minorHAnsi"/>
              </w:rPr>
              <w:t xml:space="preserve">, stabilit prin raportare la nivelul Marjei Nete înregistrate (fără a fi aplicate rotunjiri), după următorul model (raportat la numărul de Acțiuni din capitalul social al Societății la </w:t>
            </w:r>
            <w:r w:rsidR="00884F2F">
              <w:rPr>
                <w:rFonts w:asciiTheme="minorHAnsi" w:hAnsiTheme="minorHAnsi" w:cstheme="minorHAnsi"/>
              </w:rPr>
              <w:t>1 ianuarie 2022</w:t>
            </w:r>
            <w:r w:rsidRPr="00542715">
              <w:rPr>
                <w:rFonts w:asciiTheme="minorHAnsi" w:hAnsiTheme="minorHAnsi" w:cstheme="minorHAnsi"/>
              </w:rPr>
              <w:t>):</w:t>
            </w:r>
          </w:p>
          <w:tbl>
            <w:tblPr>
              <w:tblW w:w="0" w:type="auto"/>
              <w:tblInd w:w="430" w:type="dxa"/>
              <w:tblLook w:val="04A0" w:firstRow="1" w:lastRow="0" w:firstColumn="1" w:lastColumn="0" w:noHBand="0" w:noVBand="1"/>
            </w:tblPr>
            <w:tblGrid>
              <w:gridCol w:w="630"/>
              <w:gridCol w:w="877"/>
              <w:gridCol w:w="1233"/>
              <w:gridCol w:w="1399"/>
            </w:tblGrid>
            <w:tr w:rsidR="000640EE" w:rsidRPr="00542715" w14:paraId="05675BD6" w14:textId="77777777" w:rsidTr="007A0B03">
              <w:tc>
                <w:tcPr>
                  <w:tcW w:w="630" w:type="dxa"/>
                  <w:shd w:val="clear" w:color="auto" w:fill="auto"/>
                </w:tcPr>
                <w:p w14:paraId="727B1C15" w14:textId="77777777" w:rsidR="000640EE" w:rsidRPr="00542715" w:rsidRDefault="000640EE" w:rsidP="000640EE">
                  <w:pPr>
                    <w:pStyle w:val="Level3"/>
                    <w:numPr>
                      <w:ilvl w:val="0"/>
                      <w:numId w:val="0"/>
                    </w:numPr>
                    <w:rPr>
                      <w:rFonts w:asciiTheme="minorHAnsi" w:hAnsiTheme="minorHAnsi" w:cstheme="minorHAnsi"/>
                      <w:szCs w:val="20"/>
                      <w:lang w:val="ro-RO"/>
                    </w:rPr>
                  </w:pPr>
                  <w:bookmarkStart w:id="1" w:name="_Hlk116060389"/>
                  <w:r w:rsidRPr="00542715">
                    <w:rPr>
                      <w:rFonts w:asciiTheme="minorHAnsi" w:hAnsiTheme="minorHAnsi" w:cstheme="minorHAnsi"/>
                      <w:szCs w:val="20"/>
                      <w:lang w:val="ro-RO"/>
                    </w:rPr>
                    <w:t xml:space="preserve">Nr. crt. </w:t>
                  </w:r>
                </w:p>
              </w:tc>
              <w:tc>
                <w:tcPr>
                  <w:tcW w:w="877" w:type="dxa"/>
                  <w:shd w:val="clear" w:color="auto" w:fill="auto"/>
                </w:tcPr>
                <w:p w14:paraId="77F140EF" w14:textId="77777777" w:rsidR="000640EE" w:rsidRPr="00542715" w:rsidRDefault="000640EE" w:rsidP="000640EE">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(A)</w:t>
                  </w:r>
                </w:p>
                <w:p w14:paraId="7D5502C9" w14:textId="77777777" w:rsidR="000640EE" w:rsidRPr="00542715" w:rsidRDefault="000640EE" w:rsidP="000640EE">
                  <w:pPr>
                    <w:pStyle w:val="Level3"/>
                    <w:numPr>
                      <w:ilvl w:val="0"/>
                      <w:numId w:val="0"/>
                    </w:numPr>
                    <w:rPr>
                      <w:rFonts w:asciiTheme="minorHAnsi" w:hAnsiTheme="minorHAnsi" w:cstheme="minorHAnsi"/>
                      <w:szCs w:val="20"/>
                      <w:lang w:val="ro-RO"/>
                    </w:rPr>
                  </w:pPr>
                  <w:r w:rsidRPr="00542715">
                    <w:rPr>
                      <w:rFonts w:asciiTheme="minorHAnsi" w:hAnsiTheme="minorHAnsi" w:cstheme="minorHAnsi"/>
                      <w:szCs w:val="20"/>
                      <w:lang w:val="ro-RO"/>
                    </w:rPr>
                    <w:t>Număr de acțiuni</w:t>
                  </w:r>
                </w:p>
              </w:tc>
              <w:tc>
                <w:tcPr>
                  <w:tcW w:w="1233" w:type="dxa"/>
                  <w:shd w:val="clear" w:color="auto" w:fill="auto"/>
                </w:tcPr>
                <w:p w14:paraId="4158E3DD" w14:textId="77777777" w:rsidR="000640EE" w:rsidRPr="00542715" w:rsidRDefault="000640EE" w:rsidP="000640EE">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(B)</w:t>
                  </w:r>
                </w:p>
                <w:p w14:paraId="0A2A5F18" w14:textId="77777777" w:rsidR="000640EE" w:rsidRPr="00542715" w:rsidRDefault="000640EE" w:rsidP="000640EE">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Procent de determinare</w:t>
                  </w:r>
                </w:p>
              </w:tc>
              <w:tc>
                <w:tcPr>
                  <w:tcW w:w="1399" w:type="dxa"/>
                  <w:shd w:val="clear" w:color="auto" w:fill="auto"/>
                </w:tcPr>
                <w:p w14:paraId="168ECBFA" w14:textId="77777777" w:rsidR="000640EE" w:rsidRPr="00542715" w:rsidRDefault="000640EE" w:rsidP="000640EE">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(C)</w:t>
                  </w:r>
                </w:p>
                <w:p w14:paraId="7F33E865" w14:textId="7829B049" w:rsidR="000640EE" w:rsidRPr="00542715" w:rsidRDefault="000640EE" w:rsidP="000640EE">
                  <w:pPr>
                    <w:pStyle w:val="Level3"/>
                    <w:numPr>
                      <w:ilvl w:val="0"/>
                      <w:numId w:val="0"/>
                    </w:numPr>
                    <w:rPr>
                      <w:rFonts w:asciiTheme="minorHAnsi" w:hAnsiTheme="minorHAnsi" w:cstheme="minorHAnsi"/>
                      <w:szCs w:val="20"/>
                      <w:lang w:val="ro-RO"/>
                    </w:rPr>
                  </w:pPr>
                  <w:r w:rsidRPr="00542715">
                    <w:rPr>
                      <w:rFonts w:asciiTheme="minorHAnsi" w:hAnsiTheme="minorHAnsi" w:cstheme="minorHAnsi"/>
                      <w:szCs w:val="20"/>
                      <w:lang w:val="ro-RO"/>
                    </w:rPr>
                    <w:t>Marja Netă înregistrată</w:t>
                  </w:r>
                </w:p>
              </w:tc>
            </w:tr>
            <w:bookmarkEnd w:id="1"/>
            <w:tr w:rsidR="007A0B03" w:rsidRPr="00542715" w14:paraId="52373D8D" w14:textId="77777777" w:rsidTr="007A0B03">
              <w:tc>
                <w:tcPr>
                  <w:tcW w:w="630" w:type="dxa"/>
                  <w:shd w:val="clear" w:color="auto" w:fill="auto"/>
                </w:tcPr>
                <w:p w14:paraId="693ADF01"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128A2765" w14:textId="377AD1C7"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233" w:type="dxa"/>
                  <w:shd w:val="clear" w:color="auto" w:fill="auto"/>
                </w:tcPr>
                <w:p w14:paraId="59161519"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399" w:type="dxa"/>
                  <w:shd w:val="clear" w:color="auto" w:fill="auto"/>
                </w:tcPr>
                <w:p w14:paraId="3F343DE5"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0,0%</w:t>
                  </w:r>
                </w:p>
              </w:tc>
            </w:tr>
            <w:tr w:rsidR="007A0B03" w:rsidRPr="00542715" w14:paraId="69E4388D" w14:textId="77777777" w:rsidTr="007A0B03">
              <w:tc>
                <w:tcPr>
                  <w:tcW w:w="630" w:type="dxa"/>
                  <w:shd w:val="clear" w:color="auto" w:fill="auto"/>
                </w:tcPr>
                <w:p w14:paraId="2C412F61"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5BC357F4" w14:textId="77D2F62B"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233" w:type="dxa"/>
                  <w:shd w:val="clear" w:color="auto" w:fill="auto"/>
                </w:tcPr>
                <w:p w14:paraId="701222ED"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399" w:type="dxa"/>
                  <w:shd w:val="clear" w:color="auto" w:fill="auto"/>
                </w:tcPr>
                <w:p w14:paraId="02D2BE89"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w:t>
                  </w:r>
                </w:p>
              </w:tc>
            </w:tr>
            <w:tr w:rsidR="007A0B03" w:rsidRPr="00542715" w14:paraId="03995D61" w14:textId="77777777" w:rsidTr="007A0B03">
              <w:tc>
                <w:tcPr>
                  <w:tcW w:w="630" w:type="dxa"/>
                  <w:shd w:val="clear" w:color="auto" w:fill="auto"/>
                </w:tcPr>
                <w:p w14:paraId="735A6E8F"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6F506606" w14:textId="338594EA"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233" w:type="dxa"/>
                  <w:shd w:val="clear" w:color="auto" w:fill="auto"/>
                </w:tcPr>
                <w:p w14:paraId="7A66DA9A"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399" w:type="dxa"/>
                  <w:shd w:val="clear" w:color="auto" w:fill="auto"/>
                </w:tcPr>
                <w:p w14:paraId="56DD51D6"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2%</w:t>
                  </w:r>
                </w:p>
              </w:tc>
            </w:tr>
            <w:tr w:rsidR="007A0B03" w:rsidRPr="00542715" w14:paraId="73371CF5" w14:textId="77777777" w:rsidTr="007A0B03">
              <w:tc>
                <w:tcPr>
                  <w:tcW w:w="630" w:type="dxa"/>
                  <w:shd w:val="clear" w:color="auto" w:fill="auto"/>
                </w:tcPr>
                <w:p w14:paraId="2DA01586"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716693DD" w14:textId="17458332"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233" w:type="dxa"/>
                  <w:shd w:val="clear" w:color="auto" w:fill="auto"/>
                </w:tcPr>
                <w:p w14:paraId="07436B7E"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399" w:type="dxa"/>
                  <w:shd w:val="clear" w:color="auto" w:fill="auto"/>
                </w:tcPr>
                <w:p w14:paraId="407F6AF5"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3%</w:t>
                  </w:r>
                </w:p>
              </w:tc>
            </w:tr>
            <w:tr w:rsidR="007A0B03" w:rsidRPr="00542715" w14:paraId="51389F8C" w14:textId="77777777" w:rsidTr="007A0B03">
              <w:tc>
                <w:tcPr>
                  <w:tcW w:w="630" w:type="dxa"/>
                  <w:shd w:val="clear" w:color="auto" w:fill="auto"/>
                </w:tcPr>
                <w:p w14:paraId="245EC8AF"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6345A7C8" w14:textId="4681BC70"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233" w:type="dxa"/>
                  <w:shd w:val="clear" w:color="auto" w:fill="auto"/>
                </w:tcPr>
                <w:p w14:paraId="02428511"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399" w:type="dxa"/>
                  <w:shd w:val="clear" w:color="auto" w:fill="auto"/>
                </w:tcPr>
                <w:p w14:paraId="4CF795BF"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4%</w:t>
                  </w:r>
                </w:p>
              </w:tc>
            </w:tr>
            <w:tr w:rsidR="007A0B03" w:rsidRPr="00542715" w14:paraId="34B02957" w14:textId="77777777" w:rsidTr="007A0B03">
              <w:tc>
                <w:tcPr>
                  <w:tcW w:w="630" w:type="dxa"/>
                  <w:shd w:val="clear" w:color="auto" w:fill="auto"/>
                </w:tcPr>
                <w:p w14:paraId="044DA291"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31624CF3" w14:textId="42BC012A"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233" w:type="dxa"/>
                  <w:shd w:val="clear" w:color="auto" w:fill="auto"/>
                </w:tcPr>
                <w:p w14:paraId="232EC991"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399" w:type="dxa"/>
                  <w:shd w:val="clear" w:color="auto" w:fill="auto"/>
                </w:tcPr>
                <w:p w14:paraId="54F7777F"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5%</w:t>
                  </w:r>
                </w:p>
              </w:tc>
            </w:tr>
            <w:tr w:rsidR="007A0B03" w:rsidRPr="00542715" w14:paraId="4F838003" w14:textId="77777777" w:rsidTr="007A0B03">
              <w:tc>
                <w:tcPr>
                  <w:tcW w:w="630" w:type="dxa"/>
                  <w:shd w:val="clear" w:color="auto" w:fill="auto"/>
                </w:tcPr>
                <w:p w14:paraId="652EBF27"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4D681F1F" w14:textId="3827DE6A"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233" w:type="dxa"/>
                  <w:shd w:val="clear" w:color="auto" w:fill="auto"/>
                </w:tcPr>
                <w:p w14:paraId="2E7ECDF1"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399" w:type="dxa"/>
                  <w:shd w:val="clear" w:color="auto" w:fill="auto"/>
                </w:tcPr>
                <w:p w14:paraId="51AF5CAF"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6%</w:t>
                  </w:r>
                </w:p>
              </w:tc>
            </w:tr>
            <w:tr w:rsidR="007A0B03" w:rsidRPr="00542715" w14:paraId="565E318E" w14:textId="77777777" w:rsidTr="007A0B03">
              <w:tc>
                <w:tcPr>
                  <w:tcW w:w="630" w:type="dxa"/>
                  <w:shd w:val="clear" w:color="auto" w:fill="auto"/>
                </w:tcPr>
                <w:p w14:paraId="02D2D626"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6D6E2839" w14:textId="5CB7AF44"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233" w:type="dxa"/>
                  <w:shd w:val="clear" w:color="auto" w:fill="auto"/>
                </w:tcPr>
                <w:p w14:paraId="360A0A4C"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399" w:type="dxa"/>
                  <w:shd w:val="clear" w:color="auto" w:fill="auto"/>
                </w:tcPr>
                <w:p w14:paraId="3A39CC44"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7%</w:t>
                  </w:r>
                </w:p>
              </w:tc>
            </w:tr>
            <w:tr w:rsidR="007A0B03" w:rsidRPr="00542715" w14:paraId="070902CF" w14:textId="77777777" w:rsidTr="007A0B03">
              <w:tc>
                <w:tcPr>
                  <w:tcW w:w="630" w:type="dxa"/>
                  <w:shd w:val="clear" w:color="auto" w:fill="auto"/>
                </w:tcPr>
                <w:p w14:paraId="76A00127"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73593CEF" w14:textId="5AC6085E"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436.819</w:t>
                  </w:r>
                </w:p>
              </w:tc>
              <w:tc>
                <w:tcPr>
                  <w:tcW w:w="1233" w:type="dxa"/>
                  <w:shd w:val="clear" w:color="auto" w:fill="auto"/>
                </w:tcPr>
                <w:p w14:paraId="4183A21F"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0,75%</w:t>
                  </w:r>
                </w:p>
              </w:tc>
              <w:tc>
                <w:tcPr>
                  <w:tcW w:w="1399" w:type="dxa"/>
                  <w:shd w:val="clear" w:color="auto" w:fill="auto"/>
                </w:tcPr>
                <w:p w14:paraId="71EF5E7E"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7,5%</w:t>
                  </w:r>
                </w:p>
              </w:tc>
            </w:tr>
            <w:tr w:rsidR="007A0B03" w:rsidRPr="00542715" w14:paraId="4EBE696D" w14:textId="77777777" w:rsidTr="007A0B03">
              <w:tc>
                <w:tcPr>
                  <w:tcW w:w="630" w:type="dxa"/>
                  <w:shd w:val="clear" w:color="auto" w:fill="auto"/>
                </w:tcPr>
                <w:p w14:paraId="7FBD7C90"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23609773" w14:textId="693AE425"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465.940</w:t>
                  </w:r>
                </w:p>
              </w:tc>
              <w:tc>
                <w:tcPr>
                  <w:tcW w:w="1233" w:type="dxa"/>
                  <w:shd w:val="clear" w:color="auto" w:fill="auto"/>
                </w:tcPr>
                <w:p w14:paraId="4B9EE96C"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0,8%</w:t>
                  </w:r>
                </w:p>
              </w:tc>
              <w:tc>
                <w:tcPr>
                  <w:tcW w:w="1399" w:type="dxa"/>
                  <w:shd w:val="clear" w:color="auto" w:fill="auto"/>
                </w:tcPr>
                <w:p w14:paraId="2A6DBB7D"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8%</w:t>
                  </w:r>
                </w:p>
              </w:tc>
            </w:tr>
            <w:tr w:rsidR="007A0B03" w:rsidRPr="00542715" w14:paraId="7FA03DA3" w14:textId="77777777" w:rsidTr="007A0B03">
              <w:tc>
                <w:tcPr>
                  <w:tcW w:w="630" w:type="dxa"/>
                  <w:shd w:val="clear" w:color="auto" w:fill="auto"/>
                </w:tcPr>
                <w:p w14:paraId="79DF4B38"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06558E45" w14:textId="61DF4A9E"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524.183</w:t>
                  </w:r>
                </w:p>
              </w:tc>
              <w:tc>
                <w:tcPr>
                  <w:tcW w:w="1233" w:type="dxa"/>
                  <w:shd w:val="clear" w:color="auto" w:fill="auto"/>
                </w:tcPr>
                <w:p w14:paraId="1B3FA856"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0,9%</w:t>
                  </w:r>
                </w:p>
              </w:tc>
              <w:tc>
                <w:tcPr>
                  <w:tcW w:w="1399" w:type="dxa"/>
                  <w:shd w:val="clear" w:color="auto" w:fill="auto"/>
                </w:tcPr>
                <w:p w14:paraId="7429B8B7"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9%</w:t>
                  </w:r>
                </w:p>
              </w:tc>
            </w:tr>
            <w:tr w:rsidR="007A0B03" w:rsidRPr="00542715" w14:paraId="497EA562" w14:textId="77777777" w:rsidTr="007A0B03">
              <w:tc>
                <w:tcPr>
                  <w:tcW w:w="630" w:type="dxa"/>
                  <w:shd w:val="clear" w:color="auto" w:fill="auto"/>
                </w:tcPr>
                <w:p w14:paraId="41698B7A"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0918AB81" w14:textId="5020A3BD"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582.426</w:t>
                  </w:r>
                </w:p>
              </w:tc>
              <w:tc>
                <w:tcPr>
                  <w:tcW w:w="1233" w:type="dxa"/>
                  <w:shd w:val="clear" w:color="auto" w:fill="auto"/>
                </w:tcPr>
                <w:p w14:paraId="127821B9"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w:t>
                  </w:r>
                </w:p>
              </w:tc>
              <w:tc>
                <w:tcPr>
                  <w:tcW w:w="1399" w:type="dxa"/>
                  <w:shd w:val="clear" w:color="auto" w:fill="auto"/>
                </w:tcPr>
                <w:p w14:paraId="25B26FFB"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10%</w:t>
                  </w:r>
                </w:p>
              </w:tc>
            </w:tr>
            <w:tr w:rsidR="007A0B03" w:rsidRPr="00542715" w14:paraId="0ED79750" w14:textId="77777777" w:rsidTr="007A0B03">
              <w:tc>
                <w:tcPr>
                  <w:tcW w:w="630" w:type="dxa"/>
                  <w:shd w:val="clear" w:color="auto" w:fill="auto"/>
                </w:tcPr>
                <w:p w14:paraId="1A9B7918"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5981550D" w14:textId="35E1682C"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640.668</w:t>
                  </w:r>
                </w:p>
              </w:tc>
              <w:tc>
                <w:tcPr>
                  <w:tcW w:w="1233" w:type="dxa"/>
                  <w:shd w:val="clear" w:color="auto" w:fill="auto"/>
                </w:tcPr>
                <w:p w14:paraId="51A8AA90"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1,1%</w:t>
                  </w:r>
                </w:p>
              </w:tc>
              <w:tc>
                <w:tcPr>
                  <w:tcW w:w="1399" w:type="dxa"/>
                  <w:shd w:val="clear" w:color="auto" w:fill="auto"/>
                </w:tcPr>
                <w:p w14:paraId="4EA44428"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11%</w:t>
                  </w:r>
                </w:p>
              </w:tc>
            </w:tr>
            <w:tr w:rsidR="007A0B03" w:rsidRPr="00542715" w14:paraId="26293F30" w14:textId="77777777" w:rsidTr="007A0B03">
              <w:tc>
                <w:tcPr>
                  <w:tcW w:w="630" w:type="dxa"/>
                  <w:shd w:val="clear" w:color="auto" w:fill="auto"/>
                </w:tcPr>
                <w:p w14:paraId="7FD4974C"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19BD4A81" w14:textId="210D84A0"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698.911</w:t>
                  </w:r>
                </w:p>
              </w:tc>
              <w:tc>
                <w:tcPr>
                  <w:tcW w:w="1233" w:type="dxa"/>
                  <w:shd w:val="clear" w:color="auto" w:fill="auto"/>
                </w:tcPr>
                <w:p w14:paraId="0DDFEF23"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1,2%</w:t>
                  </w:r>
                </w:p>
              </w:tc>
              <w:tc>
                <w:tcPr>
                  <w:tcW w:w="1399" w:type="dxa"/>
                  <w:shd w:val="clear" w:color="auto" w:fill="auto"/>
                </w:tcPr>
                <w:p w14:paraId="62E5D500"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12%</w:t>
                  </w:r>
                </w:p>
              </w:tc>
            </w:tr>
            <w:tr w:rsidR="007A0B03" w:rsidRPr="00542715" w14:paraId="750A7A9E" w14:textId="77777777" w:rsidTr="007A0B03">
              <w:tc>
                <w:tcPr>
                  <w:tcW w:w="630" w:type="dxa"/>
                  <w:shd w:val="clear" w:color="auto" w:fill="auto"/>
                </w:tcPr>
                <w:p w14:paraId="1769D447"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52017857" w14:textId="531E63A7"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757.154</w:t>
                  </w:r>
                </w:p>
              </w:tc>
              <w:tc>
                <w:tcPr>
                  <w:tcW w:w="1233" w:type="dxa"/>
                  <w:shd w:val="clear" w:color="auto" w:fill="auto"/>
                </w:tcPr>
                <w:p w14:paraId="1D728590"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1,3%</w:t>
                  </w:r>
                </w:p>
              </w:tc>
              <w:tc>
                <w:tcPr>
                  <w:tcW w:w="1399" w:type="dxa"/>
                  <w:shd w:val="clear" w:color="auto" w:fill="auto"/>
                </w:tcPr>
                <w:p w14:paraId="4D7AA4A0"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 xml:space="preserve">13% </w:t>
                  </w:r>
                </w:p>
              </w:tc>
            </w:tr>
            <w:tr w:rsidR="007A0B03" w:rsidRPr="00542715" w14:paraId="2BFCFC95" w14:textId="77777777" w:rsidTr="007A0B03">
              <w:tc>
                <w:tcPr>
                  <w:tcW w:w="630" w:type="dxa"/>
                  <w:shd w:val="clear" w:color="auto" w:fill="auto"/>
                </w:tcPr>
                <w:p w14:paraId="2E0F0034"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108787A9" w14:textId="253531FD"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815.396</w:t>
                  </w:r>
                </w:p>
              </w:tc>
              <w:tc>
                <w:tcPr>
                  <w:tcW w:w="1233" w:type="dxa"/>
                  <w:shd w:val="clear" w:color="auto" w:fill="auto"/>
                </w:tcPr>
                <w:p w14:paraId="3A6C1DC9"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1,4%</w:t>
                  </w:r>
                </w:p>
              </w:tc>
              <w:tc>
                <w:tcPr>
                  <w:tcW w:w="1399" w:type="dxa"/>
                  <w:shd w:val="clear" w:color="auto" w:fill="auto"/>
                </w:tcPr>
                <w:p w14:paraId="60BF751E"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14%</w:t>
                  </w:r>
                </w:p>
              </w:tc>
            </w:tr>
            <w:tr w:rsidR="007A0B03" w:rsidRPr="00542715" w14:paraId="4390BC58" w14:textId="77777777" w:rsidTr="007A0B03">
              <w:tc>
                <w:tcPr>
                  <w:tcW w:w="630" w:type="dxa"/>
                  <w:shd w:val="clear" w:color="auto" w:fill="auto"/>
                </w:tcPr>
                <w:p w14:paraId="23729D33" w14:textId="77777777" w:rsidR="007A0B03" w:rsidRPr="00542715" w:rsidRDefault="007A0B03" w:rsidP="007A0B03">
                  <w:pPr>
                    <w:pStyle w:val="Level3"/>
                    <w:numPr>
                      <w:ilvl w:val="0"/>
                      <w:numId w:val="30"/>
                    </w:numPr>
                    <w:jc w:val="center"/>
                    <w:rPr>
                      <w:rFonts w:asciiTheme="minorHAnsi" w:hAnsiTheme="minorHAnsi" w:cstheme="minorHAnsi"/>
                      <w:szCs w:val="20"/>
                      <w:lang w:val="ro-RO"/>
                    </w:rPr>
                  </w:pPr>
                </w:p>
              </w:tc>
              <w:tc>
                <w:tcPr>
                  <w:tcW w:w="877" w:type="dxa"/>
                  <w:shd w:val="clear" w:color="auto" w:fill="auto"/>
                </w:tcPr>
                <w:p w14:paraId="7F05626C" w14:textId="0CD99154"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873.639</w:t>
                  </w:r>
                </w:p>
              </w:tc>
              <w:tc>
                <w:tcPr>
                  <w:tcW w:w="1233" w:type="dxa"/>
                  <w:shd w:val="clear" w:color="auto" w:fill="auto"/>
                </w:tcPr>
                <w:p w14:paraId="0C9DD295"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1,5%</w:t>
                  </w:r>
                </w:p>
              </w:tc>
              <w:tc>
                <w:tcPr>
                  <w:tcW w:w="1399" w:type="dxa"/>
                  <w:shd w:val="clear" w:color="auto" w:fill="auto"/>
                </w:tcPr>
                <w:p w14:paraId="1DA44FA9"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15%</w:t>
                  </w:r>
                </w:p>
              </w:tc>
            </w:tr>
          </w:tbl>
          <w:p w14:paraId="0FE5B2AE" w14:textId="4F475BAF" w:rsidR="008B2B31" w:rsidRPr="00542715" w:rsidRDefault="008B2B31" w:rsidP="008B2B31">
            <w:pPr>
              <w:pStyle w:val="BodyText"/>
              <w:spacing w:before="69" w:afterLines="50" w:line="280" w:lineRule="exact"/>
              <w:ind w:left="70"/>
              <w:jc w:val="both"/>
              <w:rPr>
                <w:rFonts w:asciiTheme="minorHAnsi" w:hAnsiTheme="minorHAnsi" w:cstheme="minorHAnsi"/>
              </w:rPr>
            </w:pPr>
            <w:r w:rsidRPr="00542715">
              <w:rPr>
                <w:rFonts w:asciiTheme="minorHAnsi" w:hAnsiTheme="minorHAnsi" w:cstheme="minorHAnsi"/>
              </w:rPr>
              <w:t>Beneficiile disponibile pentru exercițiul financiar care se va încheia la 31</w:t>
            </w:r>
            <w:r w:rsidR="00293202" w:rsidRPr="00542715">
              <w:rPr>
                <w:rFonts w:asciiTheme="minorHAnsi" w:hAnsiTheme="minorHAnsi" w:cstheme="minorHAnsi"/>
              </w:rPr>
              <w:t> </w:t>
            </w:r>
            <w:r w:rsidRPr="00542715">
              <w:rPr>
                <w:rFonts w:asciiTheme="minorHAnsi" w:hAnsiTheme="minorHAnsi" w:cstheme="minorHAnsi"/>
              </w:rPr>
              <w:t>decembrie</w:t>
            </w:r>
            <w:r w:rsidR="00293202" w:rsidRPr="00542715">
              <w:rPr>
                <w:rFonts w:asciiTheme="minorHAnsi" w:hAnsiTheme="minorHAnsi" w:cstheme="minorHAnsi"/>
              </w:rPr>
              <w:t> </w:t>
            </w:r>
            <w:r w:rsidRPr="00542715">
              <w:rPr>
                <w:rFonts w:asciiTheme="minorHAnsi" w:hAnsiTheme="minorHAnsi" w:cstheme="minorHAnsi"/>
              </w:rPr>
              <w:t>2022 vor fi distribuite către Inițiatorii Eligibili, Directorii Eligibili și Angajații Eligibili astfel:</w:t>
            </w:r>
          </w:p>
          <w:p w14:paraId="7A048571" w14:textId="6E37FB7E" w:rsidR="008B2B31" w:rsidRPr="00542715" w:rsidRDefault="008B2B31" w:rsidP="006470A1">
            <w:pPr>
              <w:pStyle w:val="BodyText"/>
              <w:numPr>
                <w:ilvl w:val="0"/>
                <w:numId w:val="31"/>
              </w:numPr>
              <w:spacing w:before="69" w:afterLines="50" w:line="280" w:lineRule="exact"/>
              <w:ind w:left="430"/>
              <w:jc w:val="both"/>
              <w:rPr>
                <w:rFonts w:asciiTheme="minorHAnsi" w:hAnsiTheme="minorHAnsi" w:cstheme="minorHAnsi"/>
              </w:rPr>
            </w:pPr>
            <w:r w:rsidRPr="00542715">
              <w:rPr>
                <w:rFonts w:asciiTheme="minorHAnsi" w:hAnsiTheme="minorHAnsi" w:cstheme="minorHAnsi"/>
              </w:rPr>
              <w:t>80% din Acțiunile ce pot fi dobândite aferente pentru exercițiul financiar care se va încheia la 31</w:t>
            </w:r>
            <w:r w:rsidR="00293202" w:rsidRPr="00542715">
              <w:rPr>
                <w:rFonts w:asciiTheme="minorHAnsi" w:hAnsiTheme="minorHAnsi" w:cstheme="minorHAnsi"/>
              </w:rPr>
              <w:t> </w:t>
            </w:r>
            <w:r w:rsidRPr="00542715">
              <w:rPr>
                <w:rFonts w:asciiTheme="minorHAnsi" w:hAnsiTheme="minorHAnsi" w:cstheme="minorHAnsi"/>
              </w:rPr>
              <w:t>decembrie</w:t>
            </w:r>
            <w:r w:rsidR="00293202" w:rsidRPr="00542715">
              <w:rPr>
                <w:rFonts w:asciiTheme="minorHAnsi" w:hAnsiTheme="minorHAnsi" w:cstheme="minorHAnsi"/>
              </w:rPr>
              <w:t> </w:t>
            </w:r>
            <w:r w:rsidRPr="00542715">
              <w:rPr>
                <w:rFonts w:asciiTheme="minorHAnsi" w:hAnsiTheme="minorHAnsi" w:cstheme="minorHAnsi"/>
              </w:rPr>
              <w:t>2022 vor fi distribuite, sub rezerva îndeplinirii condițiilor și formalităților prevăzute în Plan, către Inițiatorii Eligibili, în proporțiile prevăzute în Anexa</w:t>
            </w:r>
            <w:r w:rsidR="00293202" w:rsidRPr="00542715">
              <w:rPr>
                <w:rFonts w:asciiTheme="minorHAnsi" w:hAnsiTheme="minorHAnsi" w:cstheme="minorHAnsi"/>
              </w:rPr>
              <w:t> </w:t>
            </w:r>
            <w:r w:rsidRPr="00542715">
              <w:rPr>
                <w:rFonts w:asciiTheme="minorHAnsi" w:hAnsiTheme="minorHAnsi" w:cstheme="minorHAnsi"/>
              </w:rPr>
              <w:t>1</w:t>
            </w:r>
            <w:r w:rsidR="00293202" w:rsidRPr="00542715">
              <w:rPr>
                <w:rFonts w:asciiTheme="minorHAnsi" w:hAnsiTheme="minorHAnsi" w:cstheme="minorHAnsi"/>
              </w:rPr>
              <w:t> </w:t>
            </w:r>
            <w:r w:rsidRPr="00542715">
              <w:rPr>
                <w:rFonts w:asciiTheme="minorHAnsi" w:hAnsiTheme="minorHAnsi" w:cstheme="minorHAnsi"/>
              </w:rPr>
              <w:t>A la Plan;</w:t>
            </w:r>
          </w:p>
          <w:p w14:paraId="1A8034CB" w14:textId="71CFF03F" w:rsidR="008B2B31" w:rsidRPr="00542715" w:rsidRDefault="008B2B31" w:rsidP="006470A1">
            <w:pPr>
              <w:pStyle w:val="BodyText"/>
              <w:numPr>
                <w:ilvl w:val="0"/>
                <w:numId w:val="31"/>
              </w:numPr>
              <w:spacing w:before="69" w:afterLines="50" w:line="280" w:lineRule="exact"/>
              <w:ind w:left="430"/>
              <w:jc w:val="both"/>
              <w:rPr>
                <w:rFonts w:asciiTheme="minorHAnsi" w:hAnsiTheme="minorHAnsi" w:cstheme="minorHAnsi"/>
              </w:rPr>
            </w:pPr>
            <w:r w:rsidRPr="00542715">
              <w:rPr>
                <w:rFonts w:asciiTheme="minorHAnsi" w:hAnsiTheme="minorHAnsi" w:cstheme="minorHAnsi"/>
              </w:rPr>
              <w:t xml:space="preserve">14% din Acțiunile ce pot fi dobândite aferente </w:t>
            </w:r>
            <w:r w:rsidR="004A15A7" w:rsidRPr="00542715">
              <w:rPr>
                <w:rFonts w:asciiTheme="minorHAnsi" w:hAnsiTheme="minorHAnsi" w:cstheme="minorHAnsi"/>
              </w:rPr>
              <w:t>pentru exercițiul financiar care se va încheia la 31</w:t>
            </w:r>
            <w:r w:rsidR="00293202" w:rsidRPr="00542715">
              <w:rPr>
                <w:rFonts w:asciiTheme="minorHAnsi" w:hAnsiTheme="minorHAnsi" w:cstheme="minorHAnsi"/>
              </w:rPr>
              <w:t> </w:t>
            </w:r>
            <w:r w:rsidR="004A15A7" w:rsidRPr="00542715">
              <w:rPr>
                <w:rFonts w:asciiTheme="minorHAnsi" w:hAnsiTheme="minorHAnsi" w:cstheme="minorHAnsi"/>
              </w:rPr>
              <w:t>decembrie</w:t>
            </w:r>
            <w:r w:rsidR="00293202" w:rsidRPr="00542715">
              <w:rPr>
                <w:rFonts w:asciiTheme="minorHAnsi" w:hAnsiTheme="minorHAnsi" w:cstheme="minorHAnsi"/>
              </w:rPr>
              <w:t> </w:t>
            </w:r>
            <w:r w:rsidR="004A15A7" w:rsidRPr="00542715">
              <w:rPr>
                <w:rFonts w:asciiTheme="minorHAnsi" w:hAnsiTheme="minorHAnsi" w:cstheme="minorHAnsi"/>
              </w:rPr>
              <w:t xml:space="preserve">2022 </w:t>
            </w:r>
            <w:r w:rsidRPr="00542715">
              <w:rPr>
                <w:rFonts w:asciiTheme="minorHAnsi" w:hAnsiTheme="minorHAnsi" w:cstheme="minorHAnsi"/>
              </w:rPr>
              <w:t>vor fi distribuite, sub rezerva îndeplinirii condițiilor și formalităților prevăzute în Plan, către Directorii Eligibili, în proporțiile prevăzute în Anexa</w:t>
            </w:r>
            <w:r w:rsidR="00293202" w:rsidRPr="00542715">
              <w:rPr>
                <w:rFonts w:asciiTheme="minorHAnsi" w:hAnsiTheme="minorHAnsi" w:cstheme="minorHAnsi"/>
              </w:rPr>
              <w:t> </w:t>
            </w:r>
            <w:r w:rsidRPr="00542715">
              <w:rPr>
                <w:rFonts w:asciiTheme="minorHAnsi" w:hAnsiTheme="minorHAnsi" w:cstheme="minorHAnsi"/>
              </w:rPr>
              <w:t>1</w:t>
            </w:r>
            <w:r w:rsidR="00293202" w:rsidRPr="00542715">
              <w:rPr>
                <w:rFonts w:asciiTheme="minorHAnsi" w:hAnsiTheme="minorHAnsi" w:cstheme="minorHAnsi"/>
              </w:rPr>
              <w:t> </w:t>
            </w:r>
            <w:r w:rsidRPr="00542715">
              <w:rPr>
                <w:rFonts w:asciiTheme="minorHAnsi" w:hAnsiTheme="minorHAnsi" w:cstheme="minorHAnsi"/>
              </w:rPr>
              <w:t>B</w:t>
            </w:r>
            <w:r w:rsidR="004A15A7" w:rsidRPr="00542715">
              <w:rPr>
                <w:rFonts w:asciiTheme="minorHAnsi" w:hAnsiTheme="minorHAnsi" w:cstheme="minorHAnsi"/>
              </w:rPr>
              <w:t xml:space="preserve"> la Plan</w:t>
            </w:r>
            <w:r w:rsidRPr="00542715">
              <w:rPr>
                <w:rFonts w:asciiTheme="minorHAnsi" w:hAnsiTheme="minorHAnsi" w:cstheme="minorHAnsi"/>
              </w:rPr>
              <w:t>;</w:t>
            </w:r>
          </w:p>
          <w:p w14:paraId="575D4D3F" w14:textId="66AB5CD4" w:rsidR="000640EE" w:rsidRPr="00542715" w:rsidRDefault="008B2B31" w:rsidP="006470A1">
            <w:pPr>
              <w:pStyle w:val="BodyText"/>
              <w:numPr>
                <w:ilvl w:val="0"/>
                <w:numId w:val="31"/>
              </w:numPr>
              <w:spacing w:before="69" w:afterLines="50" w:line="280" w:lineRule="exact"/>
              <w:ind w:left="430"/>
              <w:jc w:val="both"/>
              <w:rPr>
                <w:rFonts w:asciiTheme="minorHAnsi" w:hAnsiTheme="minorHAnsi" w:cstheme="minorHAnsi"/>
              </w:rPr>
            </w:pPr>
            <w:r w:rsidRPr="00542715">
              <w:rPr>
                <w:rFonts w:asciiTheme="minorHAnsi" w:hAnsiTheme="minorHAnsi" w:cstheme="minorHAnsi"/>
              </w:rPr>
              <w:t xml:space="preserve">6% din Acțiunile ce pot fi dobândite aferente </w:t>
            </w:r>
            <w:r w:rsidR="004A15A7" w:rsidRPr="00542715">
              <w:rPr>
                <w:rFonts w:asciiTheme="minorHAnsi" w:hAnsiTheme="minorHAnsi" w:cstheme="minorHAnsi"/>
              </w:rPr>
              <w:t>pentru exercițiul financiar care se va încheia la 31</w:t>
            </w:r>
            <w:r w:rsidR="00293202" w:rsidRPr="00542715">
              <w:rPr>
                <w:rFonts w:asciiTheme="minorHAnsi" w:hAnsiTheme="minorHAnsi" w:cstheme="minorHAnsi"/>
              </w:rPr>
              <w:t> </w:t>
            </w:r>
            <w:r w:rsidR="004A15A7" w:rsidRPr="00542715">
              <w:rPr>
                <w:rFonts w:asciiTheme="minorHAnsi" w:hAnsiTheme="minorHAnsi" w:cstheme="minorHAnsi"/>
              </w:rPr>
              <w:t>decembrie</w:t>
            </w:r>
            <w:r w:rsidR="00293202" w:rsidRPr="00542715">
              <w:rPr>
                <w:rFonts w:asciiTheme="minorHAnsi" w:hAnsiTheme="minorHAnsi" w:cstheme="minorHAnsi"/>
              </w:rPr>
              <w:t> </w:t>
            </w:r>
            <w:r w:rsidR="004A15A7" w:rsidRPr="00542715">
              <w:rPr>
                <w:rFonts w:asciiTheme="minorHAnsi" w:hAnsiTheme="minorHAnsi" w:cstheme="minorHAnsi"/>
              </w:rPr>
              <w:t>2022</w:t>
            </w:r>
            <w:r w:rsidRPr="00542715">
              <w:rPr>
                <w:rFonts w:asciiTheme="minorHAnsi" w:hAnsiTheme="minorHAnsi" w:cstheme="minorHAnsi"/>
              </w:rPr>
              <w:t xml:space="preserve"> vor fi distribuite, sub rezerva îndeplinirii condițiilor și formalităților prevăzute în Plan, către Angajații Eligibili, astfel cum este prevăzut în Anexa</w:t>
            </w:r>
            <w:r w:rsidR="00293202" w:rsidRPr="00542715">
              <w:rPr>
                <w:rFonts w:asciiTheme="minorHAnsi" w:hAnsiTheme="minorHAnsi" w:cstheme="minorHAnsi"/>
              </w:rPr>
              <w:t> </w:t>
            </w:r>
            <w:r w:rsidRPr="00542715">
              <w:rPr>
                <w:rFonts w:asciiTheme="minorHAnsi" w:hAnsiTheme="minorHAnsi" w:cstheme="minorHAnsi"/>
              </w:rPr>
              <w:t>1</w:t>
            </w:r>
            <w:r w:rsidR="00293202" w:rsidRPr="00542715">
              <w:rPr>
                <w:rFonts w:asciiTheme="minorHAnsi" w:hAnsiTheme="minorHAnsi" w:cstheme="minorHAnsi"/>
              </w:rPr>
              <w:t> </w:t>
            </w:r>
            <w:r w:rsidRPr="00542715">
              <w:rPr>
                <w:rFonts w:asciiTheme="minorHAnsi" w:hAnsiTheme="minorHAnsi" w:cstheme="minorHAnsi"/>
              </w:rPr>
              <w:t>C</w:t>
            </w:r>
            <w:r w:rsidR="004A15A7" w:rsidRPr="00542715">
              <w:rPr>
                <w:rFonts w:asciiTheme="minorHAnsi" w:hAnsiTheme="minorHAnsi" w:cstheme="minorHAnsi"/>
              </w:rPr>
              <w:t xml:space="preserve"> la Plan</w:t>
            </w:r>
            <w:r w:rsidRPr="00542715">
              <w:rPr>
                <w:rFonts w:asciiTheme="minorHAnsi" w:hAnsiTheme="minorHAnsi" w:cstheme="minorHAnsi"/>
              </w:rPr>
              <w:t>.</w:t>
            </w:r>
          </w:p>
        </w:tc>
        <w:tc>
          <w:tcPr>
            <w:tcW w:w="4804" w:type="dxa"/>
          </w:tcPr>
          <w:p w14:paraId="5D854069" w14:textId="520ED5FE" w:rsidR="00293202" w:rsidRPr="00542715" w:rsidRDefault="00293202" w:rsidP="00293202">
            <w:pPr>
              <w:pStyle w:val="BodyText"/>
              <w:spacing w:before="69" w:after="140" w:line="280" w:lineRule="exact"/>
              <w:jc w:val="both"/>
              <w:rPr>
                <w:rFonts w:asciiTheme="minorHAnsi" w:hAnsiTheme="minorHAnsi" w:cstheme="minorHAnsi"/>
                <w:lang w:val="en-US"/>
              </w:rPr>
            </w:pPr>
            <w:r w:rsidRPr="00542715">
              <w:rPr>
                <w:rFonts w:asciiTheme="minorHAnsi" w:hAnsiTheme="minorHAnsi" w:cstheme="minorHAnsi"/>
                <w:lang w:val="en-US"/>
              </w:rPr>
              <w:lastRenderedPageBreak/>
              <w:t xml:space="preserve">With respect to the fiscal year ending 31 December 2022, the total number of Shares that may become available for vesting </w:t>
            </w:r>
            <w:r w:rsidR="00892C2F" w:rsidRPr="00542715">
              <w:rPr>
                <w:rFonts w:asciiTheme="minorHAnsi" w:hAnsiTheme="minorHAnsi" w:cstheme="minorHAnsi"/>
                <w:lang w:val="en-US"/>
              </w:rPr>
              <w:t>to</w:t>
            </w:r>
            <w:r w:rsidRPr="00542715">
              <w:rPr>
                <w:rFonts w:asciiTheme="minorHAnsi" w:hAnsiTheme="minorHAnsi" w:cstheme="minorHAnsi"/>
                <w:lang w:val="en-US"/>
              </w:rPr>
              <w:t xml:space="preserve"> Eligible Participants under the Plan will vary depending on the degree to which the General Performance Conditions are met, as follows:</w:t>
            </w:r>
          </w:p>
          <w:p w14:paraId="5C04D6CE" w14:textId="6C884F37" w:rsidR="00293202" w:rsidRPr="00542715" w:rsidRDefault="00293202" w:rsidP="00293202">
            <w:pPr>
              <w:pStyle w:val="ListParagraph"/>
              <w:numPr>
                <w:ilvl w:val="0"/>
                <w:numId w:val="33"/>
              </w:numPr>
              <w:spacing w:after="140" w:line="280" w:lineRule="exact"/>
              <w:ind w:left="310"/>
              <w:rPr>
                <w:rFonts w:asciiTheme="minorHAnsi" w:hAnsiTheme="minorHAnsi" w:cstheme="minorHAnsi"/>
                <w:sz w:val="20"/>
                <w:szCs w:val="20"/>
                <w:lang w:val="en-US"/>
              </w:rPr>
            </w:pPr>
            <w:r w:rsidRPr="00542715">
              <w:rPr>
                <w:rFonts w:asciiTheme="minorHAnsi" w:hAnsiTheme="minorHAnsi" w:cstheme="minorHAnsi"/>
                <w:sz w:val="20"/>
                <w:szCs w:val="20"/>
                <w:lang w:val="en-US"/>
              </w:rPr>
              <w:t>0 (zero) Shares if, with respect to the fiscal year ending 31 December 2022, the Profit is less than or equal to 0 (zero) RON; or</w:t>
            </w:r>
          </w:p>
          <w:p w14:paraId="0D8AD6A6" w14:textId="7B0B8C32" w:rsidR="00E84B52" w:rsidRPr="00542715" w:rsidRDefault="00293202" w:rsidP="00293202">
            <w:pPr>
              <w:pStyle w:val="ListParagraph"/>
              <w:numPr>
                <w:ilvl w:val="0"/>
                <w:numId w:val="33"/>
              </w:numPr>
              <w:spacing w:after="140" w:line="280" w:lineRule="exact"/>
              <w:ind w:left="310"/>
              <w:rPr>
                <w:rFonts w:asciiTheme="minorHAnsi" w:hAnsiTheme="minorHAnsi" w:cstheme="minorHAnsi"/>
                <w:sz w:val="20"/>
                <w:szCs w:val="20"/>
                <w:lang w:val="en-GB"/>
              </w:rPr>
            </w:pPr>
            <w:r w:rsidRPr="00542715">
              <w:rPr>
                <w:rFonts w:asciiTheme="minorHAnsi" w:hAnsiTheme="minorHAnsi" w:cstheme="minorHAnsi"/>
                <w:sz w:val="20"/>
                <w:szCs w:val="20"/>
                <w:lang w:val="en-US"/>
              </w:rPr>
              <w:t>if in respect of the financial year ending 31</w:t>
            </w:r>
            <w:r w:rsidR="00996821" w:rsidRPr="00542715">
              <w:rPr>
                <w:rFonts w:asciiTheme="minorHAnsi" w:hAnsiTheme="minorHAnsi" w:cstheme="minorHAnsi"/>
                <w:sz w:val="20"/>
                <w:szCs w:val="20"/>
                <w:lang w:val="en-US"/>
              </w:rPr>
              <w:t> </w:t>
            </w:r>
            <w:r w:rsidRPr="00542715">
              <w:rPr>
                <w:rFonts w:asciiTheme="minorHAnsi" w:hAnsiTheme="minorHAnsi" w:cstheme="minorHAnsi"/>
                <w:sz w:val="20"/>
                <w:szCs w:val="20"/>
                <w:lang w:val="en-US"/>
              </w:rPr>
              <w:t>December</w:t>
            </w:r>
            <w:r w:rsidR="00996821" w:rsidRPr="00542715">
              <w:rPr>
                <w:rFonts w:asciiTheme="minorHAnsi" w:hAnsiTheme="minorHAnsi" w:cstheme="minorHAnsi"/>
                <w:sz w:val="20"/>
                <w:szCs w:val="20"/>
                <w:lang w:val="en-US"/>
              </w:rPr>
              <w:t> </w:t>
            </w:r>
            <w:r w:rsidRPr="00542715">
              <w:rPr>
                <w:rFonts w:asciiTheme="minorHAnsi" w:hAnsiTheme="minorHAnsi" w:cstheme="minorHAnsi"/>
                <w:sz w:val="20"/>
                <w:szCs w:val="20"/>
                <w:lang w:val="en-US"/>
              </w:rPr>
              <w:t>2022, the Profit is greater than 0 (zero) RON, a variable number of Shares representing a percentage of the Shares in the share capital of the Company as at 1</w:t>
            </w:r>
            <w:r w:rsidR="00996821" w:rsidRPr="00542715">
              <w:rPr>
                <w:rFonts w:asciiTheme="minorHAnsi" w:hAnsiTheme="minorHAnsi" w:cstheme="minorHAnsi"/>
                <w:sz w:val="20"/>
                <w:szCs w:val="20"/>
                <w:lang w:val="en-US"/>
              </w:rPr>
              <w:t> </w:t>
            </w:r>
            <w:r w:rsidRPr="00542715">
              <w:rPr>
                <w:rFonts w:asciiTheme="minorHAnsi" w:hAnsiTheme="minorHAnsi" w:cstheme="minorHAnsi"/>
                <w:sz w:val="20"/>
                <w:szCs w:val="20"/>
                <w:lang w:val="en-US"/>
              </w:rPr>
              <w:t>January</w:t>
            </w:r>
            <w:r w:rsidR="00996821" w:rsidRPr="00542715">
              <w:rPr>
                <w:rFonts w:asciiTheme="minorHAnsi" w:hAnsiTheme="minorHAnsi" w:cstheme="minorHAnsi"/>
                <w:sz w:val="20"/>
                <w:szCs w:val="20"/>
                <w:lang w:val="en-US"/>
              </w:rPr>
              <w:t> </w:t>
            </w:r>
            <w:r w:rsidRPr="00542715">
              <w:rPr>
                <w:rFonts w:asciiTheme="minorHAnsi" w:hAnsiTheme="minorHAnsi" w:cstheme="minorHAnsi"/>
                <w:sz w:val="20"/>
                <w:szCs w:val="20"/>
                <w:lang w:val="en-US"/>
              </w:rPr>
              <w:t xml:space="preserve">2022, determined by reference to the level of the Net Margin recorded (without rounding), according to the following model (in relation to the number of Shares in the share capital of the Company as at </w:t>
            </w:r>
            <w:r w:rsidR="00884F2F">
              <w:rPr>
                <w:rFonts w:asciiTheme="minorHAnsi" w:hAnsiTheme="minorHAnsi" w:cstheme="minorHAnsi"/>
                <w:sz w:val="20"/>
                <w:szCs w:val="20"/>
                <w:lang w:val="en-US"/>
              </w:rPr>
              <w:t>1 January 2022</w:t>
            </w:r>
            <w:r w:rsidRPr="00542715">
              <w:rPr>
                <w:rFonts w:asciiTheme="minorHAnsi" w:hAnsiTheme="minorHAnsi" w:cstheme="minorHAnsi"/>
                <w:sz w:val="20"/>
                <w:szCs w:val="20"/>
                <w:lang w:val="en-US"/>
              </w:rPr>
              <w:t>):</w:t>
            </w:r>
          </w:p>
          <w:tbl>
            <w:tblPr>
              <w:tblW w:w="0" w:type="auto"/>
              <w:tblInd w:w="430" w:type="dxa"/>
              <w:tblLook w:val="04A0" w:firstRow="1" w:lastRow="0" w:firstColumn="1" w:lastColumn="0" w:noHBand="0" w:noVBand="1"/>
            </w:tblPr>
            <w:tblGrid>
              <w:gridCol w:w="592"/>
              <w:gridCol w:w="885"/>
              <w:gridCol w:w="1405"/>
              <w:gridCol w:w="1276"/>
            </w:tblGrid>
            <w:tr w:rsidR="00996821" w:rsidRPr="00542715" w14:paraId="7B048D27" w14:textId="77777777" w:rsidTr="007A0B03">
              <w:tc>
                <w:tcPr>
                  <w:tcW w:w="592" w:type="dxa"/>
                  <w:shd w:val="clear" w:color="auto" w:fill="auto"/>
                </w:tcPr>
                <w:p w14:paraId="49A45B93" w14:textId="19D1206B" w:rsidR="00996821" w:rsidRPr="00542715" w:rsidRDefault="00996821" w:rsidP="00996821">
                  <w:pPr>
                    <w:pStyle w:val="Level3"/>
                    <w:numPr>
                      <w:ilvl w:val="0"/>
                      <w:numId w:val="0"/>
                    </w:numPr>
                    <w:rPr>
                      <w:rFonts w:asciiTheme="minorHAnsi" w:hAnsiTheme="minorHAnsi" w:cstheme="minorHAnsi"/>
                      <w:szCs w:val="20"/>
                      <w:lang w:val="en-US"/>
                    </w:rPr>
                  </w:pPr>
                  <w:r w:rsidRPr="00542715">
                    <w:rPr>
                      <w:rFonts w:asciiTheme="minorHAnsi" w:hAnsiTheme="minorHAnsi" w:cstheme="minorHAnsi"/>
                      <w:szCs w:val="20"/>
                      <w:lang w:val="en-US"/>
                    </w:rPr>
                    <w:t xml:space="preserve">No. </w:t>
                  </w:r>
                </w:p>
              </w:tc>
              <w:tc>
                <w:tcPr>
                  <w:tcW w:w="885" w:type="dxa"/>
                  <w:shd w:val="clear" w:color="auto" w:fill="auto"/>
                </w:tcPr>
                <w:p w14:paraId="4159E7ED" w14:textId="77777777" w:rsidR="00996821" w:rsidRPr="00542715" w:rsidRDefault="00996821" w:rsidP="00996821">
                  <w:pPr>
                    <w:pStyle w:val="Level3"/>
                    <w:numPr>
                      <w:ilvl w:val="0"/>
                      <w:numId w:val="0"/>
                    </w:numPr>
                    <w:jc w:val="center"/>
                    <w:rPr>
                      <w:rFonts w:asciiTheme="minorHAnsi" w:hAnsiTheme="minorHAnsi" w:cstheme="minorHAnsi"/>
                      <w:szCs w:val="20"/>
                      <w:lang w:val="en-US"/>
                    </w:rPr>
                  </w:pPr>
                  <w:r w:rsidRPr="00542715">
                    <w:rPr>
                      <w:rFonts w:asciiTheme="minorHAnsi" w:hAnsiTheme="minorHAnsi" w:cstheme="minorHAnsi"/>
                      <w:szCs w:val="20"/>
                      <w:lang w:val="en-US"/>
                    </w:rPr>
                    <w:t>(A)</w:t>
                  </w:r>
                </w:p>
                <w:p w14:paraId="31233A8D" w14:textId="1F43F934" w:rsidR="00996821" w:rsidRPr="00542715" w:rsidRDefault="00996821" w:rsidP="00996821">
                  <w:pPr>
                    <w:pStyle w:val="Level3"/>
                    <w:numPr>
                      <w:ilvl w:val="0"/>
                      <w:numId w:val="0"/>
                    </w:numPr>
                    <w:rPr>
                      <w:rFonts w:asciiTheme="minorHAnsi" w:hAnsiTheme="minorHAnsi" w:cstheme="minorHAnsi"/>
                      <w:szCs w:val="20"/>
                      <w:lang w:val="en-US"/>
                    </w:rPr>
                  </w:pPr>
                  <w:r w:rsidRPr="00542715">
                    <w:rPr>
                      <w:rFonts w:asciiTheme="minorHAnsi" w:hAnsiTheme="minorHAnsi" w:cstheme="minorHAnsi"/>
                      <w:szCs w:val="20"/>
                      <w:lang w:val="en-US"/>
                    </w:rPr>
                    <w:t>Number of shares</w:t>
                  </w:r>
                </w:p>
              </w:tc>
              <w:tc>
                <w:tcPr>
                  <w:tcW w:w="1405" w:type="dxa"/>
                  <w:shd w:val="clear" w:color="auto" w:fill="auto"/>
                </w:tcPr>
                <w:p w14:paraId="2F8A09B1" w14:textId="77777777" w:rsidR="00996821" w:rsidRPr="00542715" w:rsidRDefault="00996821" w:rsidP="00996821">
                  <w:pPr>
                    <w:pStyle w:val="Level3"/>
                    <w:numPr>
                      <w:ilvl w:val="0"/>
                      <w:numId w:val="0"/>
                    </w:numPr>
                    <w:jc w:val="center"/>
                    <w:rPr>
                      <w:rFonts w:asciiTheme="minorHAnsi" w:hAnsiTheme="minorHAnsi" w:cstheme="minorHAnsi"/>
                      <w:szCs w:val="20"/>
                      <w:lang w:val="en-US"/>
                    </w:rPr>
                  </w:pPr>
                  <w:r w:rsidRPr="00542715">
                    <w:rPr>
                      <w:rFonts w:asciiTheme="minorHAnsi" w:hAnsiTheme="minorHAnsi" w:cstheme="minorHAnsi"/>
                      <w:szCs w:val="20"/>
                      <w:lang w:val="en-US"/>
                    </w:rPr>
                    <w:t>(B)</w:t>
                  </w:r>
                </w:p>
                <w:p w14:paraId="5DA2964D" w14:textId="02894EFE" w:rsidR="00996821" w:rsidRPr="00542715" w:rsidRDefault="00996821" w:rsidP="00996821">
                  <w:pPr>
                    <w:pStyle w:val="Level3"/>
                    <w:numPr>
                      <w:ilvl w:val="0"/>
                      <w:numId w:val="0"/>
                    </w:numPr>
                    <w:jc w:val="center"/>
                    <w:rPr>
                      <w:rFonts w:asciiTheme="minorHAnsi" w:hAnsiTheme="minorHAnsi" w:cstheme="minorHAnsi"/>
                      <w:szCs w:val="20"/>
                      <w:lang w:val="en-US"/>
                    </w:rPr>
                  </w:pPr>
                  <w:r w:rsidRPr="00542715">
                    <w:rPr>
                      <w:rFonts w:asciiTheme="minorHAnsi" w:hAnsiTheme="minorHAnsi" w:cstheme="minorHAnsi"/>
                      <w:szCs w:val="20"/>
                      <w:lang w:val="en-US"/>
                    </w:rPr>
                    <w:t>Determination percentage</w:t>
                  </w:r>
                </w:p>
              </w:tc>
              <w:tc>
                <w:tcPr>
                  <w:tcW w:w="1276" w:type="dxa"/>
                  <w:shd w:val="clear" w:color="auto" w:fill="auto"/>
                </w:tcPr>
                <w:p w14:paraId="416D015B" w14:textId="77777777" w:rsidR="00996821" w:rsidRPr="00542715" w:rsidRDefault="00996821" w:rsidP="00996821">
                  <w:pPr>
                    <w:pStyle w:val="Level3"/>
                    <w:numPr>
                      <w:ilvl w:val="0"/>
                      <w:numId w:val="0"/>
                    </w:numPr>
                    <w:jc w:val="center"/>
                    <w:rPr>
                      <w:rFonts w:asciiTheme="minorHAnsi" w:hAnsiTheme="minorHAnsi" w:cstheme="minorHAnsi"/>
                      <w:szCs w:val="20"/>
                      <w:lang w:val="en-US"/>
                    </w:rPr>
                  </w:pPr>
                  <w:r w:rsidRPr="00542715">
                    <w:rPr>
                      <w:rFonts w:asciiTheme="minorHAnsi" w:hAnsiTheme="minorHAnsi" w:cstheme="minorHAnsi"/>
                      <w:szCs w:val="20"/>
                      <w:lang w:val="en-US"/>
                    </w:rPr>
                    <w:t>(C)</w:t>
                  </w:r>
                </w:p>
                <w:p w14:paraId="0DD9E3CB" w14:textId="7E4D403A" w:rsidR="00996821" w:rsidRPr="00542715" w:rsidRDefault="00542715" w:rsidP="00996821">
                  <w:pPr>
                    <w:pStyle w:val="Level3"/>
                    <w:numPr>
                      <w:ilvl w:val="0"/>
                      <w:numId w:val="0"/>
                    </w:numPr>
                    <w:rPr>
                      <w:rFonts w:asciiTheme="minorHAnsi" w:hAnsiTheme="minorHAnsi" w:cstheme="minorHAnsi"/>
                      <w:szCs w:val="20"/>
                      <w:lang w:val="en-US"/>
                    </w:rPr>
                  </w:pPr>
                  <w:r>
                    <w:rPr>
                      <w:rFonts w:asciiTheme="minorHAnsi" w:hAnsiTheme="minorHAnsi" w:cstheme="minorHAnsi"/>
                      <w:szCs w:val="20"/>
                      <w:lang w:val="en-US"/>
                    </w:rPr>
                    <w:t xml:space="preserve">Registered </w:t>
                  </w:r>
                  <w:r w:rsidR="00996821" w:rsidRPr="00542715">
                    <w:rPr>
                      <w:rFonts w:asciiTheme="minorHAnsi" w:hAnsiTheme="minorHAnsi" w:cstheme="minorHAnsi"/>
                      <w:szCs w:val="20"/>
                      <w:lang w:val="en-US"/>
                    </w:rPr>
                    <w:t>Net Margin</w:t>
                  </w:r>
                </w:p>
              </w:tc>
            </w:tr>
            <w:tr w:rsidR="007A0B03" w:rsidRPr="00542715" w14:paraId="6BE7FE30" w14:textId="77777777" w:rsidTr="007A0B03">
              <w:tc>
                <w:tcPr>
                  <w:tcW w:w="592" w:type="dxa"/>
                  <w:shd w:val="clear" w:color="auto" w:fill="auto"/>
                </w:tcPr>
                <w:p w14:paraId="78A80A06"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619587EE" w14:textId="14EF9475"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405" w:type="dxa"/>
                  <w:shd w:val="clear" w:color="auto" w:fill="auto"/>
                </w:tcPr>
                <w:p w14:paraId="408CAA20" w14:textId="504F2DC1"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276" w:type="dxa"/>
                  <w:shd w:val="clear" w:color="auto" w:fill="auto"/>
                </w:tcPr>
                <w:p w14:paraId="6F676058" w14:textId="1D18F7BE"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0.0%</w:t>
                  </w:r>
                </w:p>
              </w:tc>
            </w:tr>
            <w:tr w:rsidR="007A0B03" w:rsidRPr="00542715" w14:paraId="030F6B96" w14:textId="77777777" w:rsidTr="007A0B03">
              <w:tc>
                <w:tcPr>
                  <w:tcW w:w="592" w:type="dxa"/>
                  <w:shd w:val="clear" w:color="auto" w:fill="auto"/>
                </w:tcPr>
                <w:p w14:paraId="3E0F58C5"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6DCD559B" w14:textId="30A4F6F5"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405" w:type="dxa"/>
                  <w:shd w:val="clear" w:color="auto" w:fill="auto"/>
                </w:tcPr>
                <w:p w14:paraId="795A058E" w14:textId="340E3CA4"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276" w:type="dxa"/>
                  <w:shd w:val="clear" w:color="auto" w:fill="auto"/>
                </w:tcPr>
                <w:p w14:paraId="0D94084F"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w:t>
                  </w:r>
                </w:p>
              </w:tc>
            </w:tr>
            <w:tr w:rsidR="007A0B03" w:rsidRPr="00542715" w14:paraId="64C4F486" w14:textId="77777777" w:rsidTr="007A0B03">
              <w:tc>
                <w:tcPr>
                  <w:tcW w:w="592" w:type="dxa"/>
                  <w:shd w:val="clear" w:color="auto" w:fill="auto"/>
                </w:tcPr>
                <w:p w14:paraId="019F0568"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4C9F04D4" w14:textId="5AA67DAD"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405" w:type="dxa"/>
                  <w:shd w:val="clear" w:color="auto" w:fill="auto"/>
                </w:tcPr>
                <w:p w14:paraId="0B8923A3" w14:textId="28664A95"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276" w:type="dxa"/>
                  <w:shd w:val="clear" w:color="auto" w:fill="auto"/>
                </w:tcPr>
                <w:p w14:paraId="2728D6CB"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2%</w:t>
                  </w:r>
                </w:p>
              </w:tc>
            </w:tr>
            <w:tr w:rsidR="007A0B03" w:rsidRPr="00542715" w14:paraId="040EC68D" w14:textId="77777777" w:rsidTr="007A0B03">
              <w:tc>
                <w:tcPr>
                  <w:tcW w:w="592" w:type="dxa"/>
                  <w:shd w:val="clear" w:color="auto" w:fill="auto"/>
                </w:tcPr>
                <w:p w14:paraId="72E59D28"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6DCAF79F" w14:textId="16BBA0EB"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405" w:type="dxa"/>
                  <w:shd w:val="clear" w:color="auto" w:fill="auto"/>
                </w:tcPr>
                <w:p w14:paraId="1E8A84C7" w14:textId="2220B433"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276" w:type="dxa"/>
                  <w:shd w:val="clear" w:color="auto" w:fill="auto"/>
                </w:tcPr>
                <w:p w14:paraId="43147D11"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3%</w:t>
                  </w:r>
                </w:p>
              </w:tc>
            </w:tr>
            <w:tr w:rsidR="007A0B03" w:rsidRPr="00542715" w14:paraId="42AD0348" w14:textId="77777777" w:rsidTr="007A0B03">
              <w:tc>
                <w:tcPr>
                  <w:tcW w:w="592" w:type="dxa"/>
                  <w:shd w:val="clear" w:color="auto" w:fill="auto"/>
                </w:tcPr>
                <w:p w14:paraId="45E3CCBD"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4F324D5E" w14:textId="58B62200"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405" w:type="dxa"/>
                  <w:shd w:val="clear" w:color="auto" w:fill="auto"/>
                </w:tcPr>
                <w:p w14:paraId="57CEFFC4" w14:textId="35F222EE"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276" w:type="dxa"/>
                  <w:shd w:val="clear" w:color="auto" w:fill="auto"/>
                </w:tcPr>
                <w:p w14:paraId="3B36DC44"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4%</w:t>
                  </w:r>
                </w:p>
              </w:tc>
            </w:tr>
            <w:tr w:rsidR="007A0B03" w:rsidRPr="00542715" w14:paraId="115F2E15" w14:textId="77777777" w:rsidTr="007A0B03">
              <w:tc>
                <w:tcPr>
                  <w:tcW w:w="592" w:type="dxa"/>
                  <w:shd w:val="clear" w:color="auto" w:fill="auto"/>
                </w:tcPr>
                <w:p w14:paraId="0263AE30"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451E106C" w14:textId="54DD7D1E"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405" w:type="dxa"/>
                  <w:shd w:val="clear" w:color="auto" w:fill="auto"/>
                </w:tcPr>
                <w:p w14:paraId="2D68E6CA" w14:textId="2895E388"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276" w:type="dxa"/>
                  <w:shd w:val="clear" w:color="auto" w:fill="auto"/>
                </w:tcPr>
                <w:p w14:paraId="2C6A9EE9"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5%</w:t>
                  </w:r>
                </w:p>
              </w:tc>
            </w:tr>
            <w:tr w:rsidR="007A0B03" w:rsidRPr="00542715" w14:paraId="451DE563" w14:textId="77777777" w:rsidTr="007A0B03">
              <w:tc>
                <w:tcPr>
                  <w:tcW w:w="592" w:type="dxa"/>
                  <w:shd w:val="clear" w:color="auto" w:fill="auto"/>
                </w:tcPr>
                <w:p w14:paraId="0B77A284"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07A24EFD" w14:textId="7181D59E"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405" w:type="dxa"/>
                  <w:shd w:val="clear" w:color="auto" w:fill="auto"/>
                </w:tcPr>
                <w:p w14:paraId="78BCF9C0" w14:textId="4334A5FB"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276" w:type="dxa"/>
                  <w:shd w:val="clear" w:color="auto" w:fill="auto"/>
                </w:tcPr>
                <w:p w14:paraId="04C643A6"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6%</w:t>
                  </w:r>
                </w:p>
              </w:tc>
            </w:tr>
            <w:tr w:rsidR="007A0B03" w:rsidRPr="00542715" w14:paraId="51A65EE5" w14:textId="77777777" w:rsidTr="007A0B03">
              <w:tc>
                <w:tcPr>
                  <w:tcW w:w="592" w:type="dxa"/>
                  <w:shd w:val="clear" w:color="auto" w:fill="auto"/>
                </w:tcPr>
                <w:p w14:paraId="26F5D5A4"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4011C3C7" w14:textId="4B7E90E7"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291,213</w:t>
                  </w:r>
                </w:p>
              </w:tc>
              <w:tc>
                <w:tcPr>
                  <w:tcW w:w="1405" w:type="dxa"/>
                  <w:shd w:val="clear" w:color="auto" w:fill="auto"/>
                </w:tcPr>
                <w:p w14:paraId="049082E9" w14:textId="3561D4CE"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0.5%</w:t>
                  </w:r>
                </w:p>
              </w:tc>
              <w:tc>
                <w:tcPr>
                  <w:tcW w:w="1276" w:type="dxa"/>
                  <w:shd w:val="clear" w:color="auto" w:fill="auto"/>
                </w:tcPr>
                <w:p w14:paraId="36FAE16A"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7%</w:t>
                  </w:r>
                </w:p>
              </w:tc>
            </w:tr>
            <w:tr w:rsidR="007A0B03" w:rsidRPr="00542715" w14:paraId="7413666C" w14:textId="77777777" w:rsidTr="007A0B03">
              <w:tc>
                <w:tcPr>
                  <w:tcW w:w="592" w:type="dxa"/>
                  <w:shd w:val="clear" w:color="auto" w:fill="auto"/>
                </w:tcPr>
                <w:p w14:paraId="76936AA7"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106F855A" w14:textId="2C87DD3F"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436,819</w:t>
                  </w:r>
                </w:p>
              </w:tc>
              <w:tc>
                <w:tcPr>
                  <w:tcW w:w="1405" w:type="dxa"/>
                  <w:shd w:val="clear" w:color="auto" w:fill="auto"/>
                </w:tcPr>
                <w:p w14:paraId="215B8AC4" w14:textId="432B32DF"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0.75%</w:t>
                  </w:r>
                </w:p>
              </w:tc>
              <w:tc>
                <w:tcPr>
                  <w:tcW w:w="1276" w:type="dxa"/>
                  <w:shd w:val="clear" w:color="auto" w:fill="auto"/>
                </w:tcPr>
                <w:p w14:paraId="4FE7361A" w14:textId="450E53B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7.5%</w:t>
                  </w:r>
                </w:p>
              </w:tc>
            </w:tr>
            <w:tr w:rsidR="007A0B03" w:rsidRPr="00542715" w14:paraId="7D24D02B" w14:textId="77777777" w:rsidTr="007A0B03">
              <w:tc>
                <w:tcPr>
                  <w:tcW w:w="592" w:type="dxa"/>
                  <w:shd w:val="clear" w:color="auto" w:fill="auto"/>
                </w:tcPr>
                <w:p w14:paraId="274D3B6A"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58ED26DA" w14:textId="67558C49"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465,940</w:t>
                  </w:r>
                </w:p>
              </w:tc>
              <w:tc>
                <w:tcPr>
                  <w:tcW w:w="1405" w:type="dxa"/>
                  <w:shd w:val="clear" w:color="auto" w:fill="auto"/>
                </w:tcPr>
                <w:p w14:paraId="1CF84EC4" w14:textId="2D37225B"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0.8%</w:t>
                  </w:r>
                </w:p>
              </w:tc>
              <w:tc>
                <w:tcPr>
                  <w:tcW w:w="1276" w:type="dxa"/>
                  <w:shd w:val="clear" w:color="auto" w:fill="auto"/>
                </w:tcPr>
                <w:p w14:paraId="7CF2794F"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8%</w:t>
                  </w:r>
                </w:p>
              </w:tc>
            </w:tr>
            <w:tr w:rsidR="007A0B03" w:rsidRPr="00542715" w14:paraId="1E435379" w14:textId="77777777" w:rsidTr="007A0B03">
              <w:tc>
                <w:tcPr>
                  <w:tcW w:w="592" w:type="dxa"/>
                  <w:shd w:val="clear" w:color="auto" w:fill="auto"/>
                </w:tcPr>
                <w:p w14:paraId="08530739"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7448C416" w14:textId="3CF0BEAD"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524,183</w:t>
                  </w:r>
                </w:p>
              </w:tc>
              <w:tc>
                <w:tcPr>
                  <w:tcW w:w="1405" w:type="dxa"/>
                  <w:shd w:val="clear" w:color="auto" w:fill="auto"/>
                </w:tcPr>
                <w:p w14:paraId="26976A8B" w14:textId="744F4A96"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0.9%</w:t>
                  </w:r>
                </w:p>
              </w:tc>
              <w:tc>
                <w:tcPr>
                  <w:tcW w:w="1276" w:type="dxa"/>
                  <w:shd w:val="clear" w:color="auto" w:fill="auto"/>
                </w:tcPr>
                <w:p w14:paraId="19DF155D"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9%</w:t>
                  </w:r>
                </w:p>
              </w:tc>
            </w:tr>
            <w:tr w:rsidR="007A0B03" w:rsidRPr="00542715" w14:paraId="196748FD" w14:textId="77777777" w:rsidTr="007A0B03">
              <w:tc>
                <w:tcPr>
                  <w:tcW w:w="592" w:type="dxa"/>
                  <w:shd w:val="clear" w:color="auto" w:fill="auto"/>
                </w:tcPr>
                <w:p w14:paraId="17E615C3"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70DD9448" w14:textId="0F821DE8"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582,426</w:t>
                  </w:r>
                </w:p>
              </w:tc>
              <w:tc>
                <w:tcPr>
                  <w:tcW w:w="1405" w:type="dxa"/>
                  <w:shd w:val="clear" w:color="auto" w:fill="auto"/>
                </w:tcPr>
                <w:p w14:paraId="7F8E8211"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w:t>
                  </w:r>
                </w:p>
              </w:tc>
              <w:tc>
                <w:tcPr>
                  <w:tcW w:w="1276" w:type="dxa"/>
                  <w:shd w:val="clear" w:color="auto" w:fill="auto"/>
                </w:tcPr>
                <w:p w14:paraId="1920C661"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10%</w:t>
                  </w:r>
                </w:p>
              </w:tc>
            </w:tr>
            <w:tr w:rsidR="007A0B03" w:rsidRPr="00542715" w14:paraId="66007AB3" w14:textId="77777777" w:rsidTr="007A0B03">
              <w:tc>
                <w:tcPr>
                  <w:tcW w:w="592" w:type="dxa"/>
                  <w:shd w:val="clear" w:color="auto" w:fill="auto"/>
                </w:tcPr>
                <w:p w14:paraId="2A67CBE8"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6B064D62" w14:textId="69A6417D"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640,668</w:t>
                  </w:r>
                </w:p>
              </w:tc>
              <w:tc>
                <w:tcPr>
                  <w:tcW w:w="1405" w:type="dxa"/>
                  <w:shd w:val="clear" w:color="auto" w:fill="auto"/>
                </w:tcPr>
                <w:p w14:paraId="6BD39B17" w14:textId="4BC7F8E5"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1.1%</w:t>
                  </w:r>
                </w:p>
              </w:tc>
              <w:tc>
                <w:tcPr>
                  <w:tcW w:w="1276" w:type="dxa"/>
                  <w:shd w:val="clear" w:color="auto" w:fill="auto"/>
                </w:tcPr>
                <w:p w14:paraId="2FF1B02D"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11%</w:t>
                  </w:r>
                </w:p>
              </w:tc>
            </w:tr>
            <w:tr w:rsidR="007A0B03" w:rsidRPr="00542715" w14:paraId="08963E5D" w14:textId="77777777" w:rsidTr="007A0B03">
              <w:tc>
                <w:tcPr>
                  <w:tcW w:w="592" w:type="dxa"/>
                  <w:shd w:val="clear" w:color="auto" w:fill="auto"/>
                </w:tcPr>
                <w:p w14:paraId="3B700263"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5318763E" w14:textId="5758C5BB"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698,911</w:t>
                  </w:r>
                </w:p>
              </w:tc>
              <w:tc>
                <w:tcPr>
                  <w:tcW w:w="1405" w:type="dxa"/>
                  <w:shd w:val="clear" w:color="auto" w:fill="auto"/>
                </w:tcPr>
                <w:p w14:paraId="6C7D000A" w14:textId="26D46E42"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1.2%</w:t>
                  </w:r>
                </w:p>
              </w:tc>
              <w:tc>
                <w:tcPr>
                  <w:tcW w:w="1276" w:type="dxa"/>
                  <w:shd w:val="clear" w:color="auto" w:fill="auto"/>
                </w:tcPr>
                <w:p w14:paraId="12775F78"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12%</w:t>
                  </w:r>
                </w:p>
              </w:tc>
            </w:tr>
            <w:tr w:rsidR="007A0B03" w:rsidRPr="00542715" w14:paraId="18EC6454" w14:textId="77777777" w:rsidTr="007A0B03">
              <w:tc>
                <w:tcPr>
                  <w:tcW w:w="592" w:type="dxa"/>
                  <w:shd w:val="clear" w:color="auto" w:fill="auto"/>
                </w:tcPr>
                <w:p w14:paraId="06E31901"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5142FD13" w14:textId="236F2B89"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757,154</w:t>
                  </w:r>
                </w:p>
              </w:tc>
              <w:tc>
                <w:tcPr>
                  <w:tcW w:w="1405" w:type="dxa"/>
                  <w:shd w:val="clear" w:color="auto" w:fill="auto"/>
                </w:tcPr>
                <w:p w14:paraId="11F3A735" w14:textId="360D0FA4"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1.3%</w:t>
                  </w:r>
                </w:p>
              </w:tc>
              <w:tc>
                <w:tcPr>
                  <w:tcW w:w="1276" w:type="dxa"/>
                  <w:shd w:val="clear" w:color="auto" w:fill="auto"/>
                </w:tcPr>
                <w:p w14:paraId="4B6265E8"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 xml:space="preserve">13% </w:t>
                  </w:r>
                </w:p>
              </w:tc>
            </w:tr>
            <w:tr w:rsidR="007A0B03" w:rsidRPr="00542715" w14:paraId="2959EF3A" w14:textId="77777777" w:rsidTr="007A0B03">
              <w:tc>
                <w:tcPr>
                  <w:tcW w:w="592" w:type="dxa"/>
                  <w:shd w:val="clear" w:color="auto" w:fill="auto"/>
                </w:tcPr>
                <w:p w14:paraId="3FD1A556"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68C09E45" w14:textId="607F22B6"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815,396</w:t>
                  </w:r>
                </w:p>
              </w:tc>
              <w:tc>
                <w:tcPr>
                  <w:tcW w:w="1405" w:type="dxa"/>
                  <w:shd w:val="clear" w:color="auto" w:fill="auto"/>
                </w:tcPr>
                <w:p w14:paraId="4084A897" w14:textId="4C3CCEC6"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1.4%</w:t>
                  </w:r>
                </w:p>
              </w:tc>
              <w:tc>
                <w:tcPr>
                  <w:tcW w:w="1276" w:type="dxa"/>
                  <w:shd w:val="clear" w:color="auto" w:fill="auto"/>
                </w:tcPr>
                <w:p w14:paraId="3C44756F"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14%</w:t>
                  </w:r>
                </w:p>
              </w:tc>
            </w:tr>
            <w:tr w:rsidR="007A0B03" w:rsidRPr="00542715" w14:paraId="4C1BFA2E" w14:textId="77777777" w:rsidTr="007A0B03">
              <w:tc>
                <w:tcPr>
                  <w:tcW w:w="592" w:type="dxa"/>
                  <w:shd w:val="clear" w:color="auto" w:fill="auto"/>
                </w:tcPr>
                <w:p w14:paraId="7A3B5DFB" w14:textId="77777777" w:rsidR="007A0B03" w:rsidRPr="00542715" w:rsidRDefault="007A0B03" w:rsidP="007A0B03">
                  <w:pPr>
                    <w:pStyle w:val="Level3"/>
                    <w:numPr>
                      <w:ilvl w:val="0"/>
                      <w:numId w:val="34"/>
                    </w:numPr>
                    <w:jc w:val="center"/>
                    <w:rPr>
                      <w:rFonts w:asciiTheme="minorHAnsi" w:hAnsiTheme="minorHAnsi" w:cstheme="minorHAnsi"/>
                      <w:szCs w:val="20"/>
                      <w:lang w:val="ro-RO"/>
                    </w:rPr>
                  </w:pPr>
                </w:p>
              </w:tc>
              <w:tc>
                <w:tcPr>
                  <w:tcW w:w="885" w:type="dxa"/>
                  <w:shd w:val="clear" w:color="auto" w:fill="auto"/>
                </w:tcPr>
                <w:p w14:paraId="52916530" w14:textId="6C3BF2CF" w:rsidR="007A0B03" w:rsidRPr="007A0B03" w:rsidRDefault="007A0B03" w:rsidP="007A0B03">
                  <w:pPr>
                    <w:pStyle w:val="Level3"/>
                    <w:numPr>
                      <w:ilvl w:val="0"/>
                      <w:numId w:val="0"/>
                    </w:numPr>
                    <w:jc w:val="center"/>
                    <w:rPr>
                      <w:rFonts w:asciiTheme="minorHAnsi" w:hAnsiTheme="minorHAnsi" w:cstheme="minorHAnsi"/>
                      <w:szCs w:val="20"/>
                      <w:lang w:val="ro-RO"/>
                    </w:rPr>
                  </w:pPr>
                  <w:r w:rsidRPr="007A0B03">
                    <w:rPr>
                      <w:rFonts w:asciiTheme="minorHAnsi" w:hAnsiTheme="minorHAnsi" w:cstheme="minorHAnsi"/>
                    </w:rPr>
                    <w:t>873,639</w:t>
                  </w:r>
                </w:p>
              </w:tc>
              <w:tc>
                <w:tcPr>
                  <w:tcW w:w="1405" w:type="dxa"/>
                  <w:shd w:val="clear" w:color="auto" w:fill="auto"/>
                </w:tcPr>
                <w:p w14:paraId="2EE3B7C8" w14:textId="3C67B824"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1.5%</w:t>
                  </w:r>
                </w:p>
              </w:tc>
              <w:tc>
                <w:tcPr>
                  <w:tcW w:w="1276" w:type="dxa"/>
                  <w:shd w:val="clear" w:color="auto" w:fill="auto"/>
                </w:tcPr>
                <w:p w14:paraId="710E4939" w14:textId="77777777" w:rsidR="007A0B03" w:rsidRPr="00542715" w:rsidRDefault="007A0B03" w:rsidP="007A0B03">
                  <w:pPr>
                    <w:pStyle w:val="Level3"/>
                    <w:numPr>
                      <w:ilvl w:val="0"/>
                      <w:numId w:val="0"/>
                    </w:numPr>
                    <w:jc w:val="center"/>
                    <w:rPr>
                      <w:rFonts w:asciiTheme="minorHAnsi" w:hAnsiTheme="minorHAnsi" w:cstheme="minorHAnsi"/>
                      <w:szCs w:val="20"/>
                      <w:lang w:val="ro-RO"/>
                    </w:rPr>
                  </w:pPr>
                  <w:r w:rsidRPr="00542715">
                    <w:rPr>
                      <w:rFonts w:asciiTheme="minorHAnsi" w:hAnsiTheme="minorHAnsi" w:cstheme="minorHAnsi"/>
                      <w:szCs w:val="20"/>
                      <w:lang w:val="ro-RO"/>
                    </w:rPr>
                    <w:t>15%</w:t>
                  </w:r>
                </w:p>
              </w:tc>
            </w:tr>
          </w:tbl>
          <w:p w14:paraId="25FE9D40" w14:textId="6B3B9677" w:rsidR="00F76980" w:rsidRPr="00542715" w:rsidRDefault="00F76980" w:rsidP="00F76980">
            <w:pPr>
              <w:pStyle w:val="BodyText"/>
              <w:spacing w:before="69" w:afterLines="50" w:line="280" w:lineRule="exact"/>
              <w:jc w:val="both"/>
              <w:rPr>
                <w:rFonts w:asciiTheme="minorHAnsi" w:hAnsiTheme="minorHAnsi" w:cstheme="minorHAnsi"/>
                <w:lang w:val="en-US"/>
              </w:rPr>
            </w:pPr>
            <w:r w:rsidRPr="00542715">
              <w:rPr>
                <w:rFonts w:asciiTheme="minorHAnsi" w:hAnsiTheme="minorHAnsi" w:cstheme="minorHAnsi"/>
                <w:lang w:val="en-US"/>
              </w:rPr>
              <w:t>The available benefits for the fiscal year ending 31 December 2022 will be distributed to Eligible Initiators, Eligible Directors and Eligible Employees as follows:</w:t>
            </w:r>
          </w:p>
          <w:p w14:paraId="33E3791E" w14:textId="34ADEAC0" w:rsidR="00F76980" w:rsidRPr="00542715" w:rsidRDefault="00F76980" w:rsidP="00F76980">
            <w:pPr>
              <w:pStyle w:val="BodyText"/>
              <w:numPr>
                <w:ilvl w:val="0"/>
                <w:numId w:val="35"/>
              </w:numPr>
              <w:spacing w:before="69" w:afterLines="50" w:line="280" w:lineRule="exact"/>
              <w:ind w:left="310"/>
              <w:jc w:val="both"/>
              <w:rPr>
                <w:rFonts w:asciiTheme="minorHAnsi" w:hAnsiTheme="minorHAnsi" w:cstheme="minorHAnsi"/>
                <w:lang w:val="en-US"/>
              </w:rPr>
            </w:pPr>
            <w:r w:rsidRPr="00542715">
              <w:rPr>
                <w:rFonts w:asciiTheme="minorHAnsi" w:hAnsiTheme="minorHAnsi" w:cstheme="minorHAnsi"/>
                <w:lang w:val="en-US"/>
              </w:rPr>
              <w:t>80% of the Shares to be vested for the financial year ending 31 December 2022 shall, subject to the satisfaction of the conditions and formalities set out in the Plan, be distributed to the Eligible Initiators in the proportions set out in Annex 1 A to the Plan;</w:t>
            </w:r>
          </w:p>
          <w:p w14:paraId="38AA37B6" w14:textId="6CA08D62" w:rsidR="00F76980" w:rsidRPr="00542715" w:rsidRDefault="00F76980" w:rsidP="00F76980">
            <w:pPr>
              <w:pStyle w:val="BodyText"/>
              <w:numPr>
                <w:ilvl w:val="0"/>
                <w:numId w:val="35"/>
              </w:numPr>
              <w:spacing w:before="69" w:afterLines="50" w:line="280" w:lineRule="exact"/>
              <w:ind w:left="310"/>
              <w:jc w:val="both"/>
              <w:rPr>
                <w:rFonts w:asciiTheme="minorHAnsi" w:hAnsiTheme="minorHAnsi" w:cstheme="minorHAnsi"/>
                <w:lang w:val="en-US"/>
              </w:rPr>
            </w:pPr>
            <w:r w:rsidRPr="00542715">
              <w:rPr>
                <w:rFonts w:asciiTheme="minorHAnsi" w:hAnsiTheme="minorHAnsi" w:cstheme="minorHAnsi"/>
                <w:lang w:val="en-US"/>
              </w:rPr>
              <w:t>14% of the Shares to be vested for the financial year ending 31</w:t>
            </w:r>
            <w:r w:rsidRPr="00542715">
              <w:rPr>
                <w:rFonts w:asciiTheme="minorHAnsi" w:hAnsiTheme="minorHAnsi" w:cstheme="minorHAnsi"/>
              </w:rPr>
              <w:t> </w:t>
            </w:r>
            <w:r w:rsidRPr="00542715">
              <w:rPr>
                <w:rFonts w:asciiTheme="minorHAnsi" w:hAnsiTheme="minorHAnsi" w:cstheme="minorHAnsi"/>
                <w:lang w:val="en-US"/>
              </w:rPr>
              <w:t xml:space="preserve">December 2022 shall be distributed, subject to the satisfaction of the conditions and formalities set out in the Plan, to the Eligible </w:t>
            </w:r>
            <w:r w:rsidR="00247DBE" w:rsidRPr="00542715">
              <w:rPr>
                <w:rFonts w:asciiTheme="minorHAnsi" w:hAnsiTheme="minorHAnsi" w:cstheme="minorHAnsi"/>
                <w:lang w:val="en-US"/>
              </w:rPr>
              <w:t>Managers</w:t>
            </w:r>
            <w:r w:rsidRPr="00542715">
              <w:rPr>
                <w:rFonts w:asciiTheme="minorHAnsi" w:hAnsiTheme="minorHAnsi" w:cstheme="minorHAnsi"/>
                <w:lang w:val="en-US"/>
              </w:rPr>
              <w:t xml:space="preserve"> in the proportions set out in </w:t>
            </w:r>
            <w:r w:rsidR="00247DBE" w:rsidRPr="00542715">
              <w:rPr>
                <w:rFonts w:asciiTheme="minorHAnsi" w:hAnsiTheme="minorHAnsi" w:cstheme="minorHAnsi"/>
                <w:lang w:val="en-US"/>
              </w:rPr>
              <w:t>Annex </w:t>
            </w:r>
            <w:r w:rsidRPr="00542715">
              <w:rPr>
                <w:rFonts w:asciiTheme="minorHAnsi" w:hAnsiTheme="minorHAnsi" w:cstheme="minorHAnsi"/>
                <w:lang w:val="en-US"/>
              </w:rPr>
              <w:t>1</w:t>
            </w:r>
            <w:r w:rsidR="00247DBE" w:rsidRPr="00542715">
              <w:rPr>
                <w:rFonts w:asciiTheme="minorHAnsi" w:hAnsiTheme="minorHAnsi" w:cstheme="minorHAnsi"/>
                <w:lang w:val="en-US"/>
              </w:rPr>
              <w:t> </w:t>
            </w:r>
            <w:r w:rsidRPr="00542715">
              <w:rPr>
                <w:rFonts w:asciiTheme="minorHAnsi" w:hAnsiTheme="minorHAnsi" w:cstheme="minorHAnsi"/>
                <w:lang w:val="en-US"/>
              </w:rPr>
              <w:t>B to the Plan;</w:t>
            </w:r>
          </w:p>
          <w:p w14:paraId="31695BEE" w14:textId="404A00A0" w:rsidR="00996821" w:rsidRPr="00542715" w:rsidRDefault="00F76980" w:rsidP="00F76980">
            <w:pPr>
              <w:pStyle w:val="BodyText"/>
              <w:numPr>
                <w:ilvl w:val="0"/>
                <w:numId w:val="35"/>
              </w:numPr>
              <w:spacing w:before="69" w:afterLines="50" w:line="280" w:lineRule="exact"/>
              <w:ind w:left="310"/>
              <w:jc w:val="both"/>
              <w:rPr>
                <w:rFonts w:asciiTheme="minorHAnsi" w:hAnsiTheme="minorHAnsi" w:cstheme="minorHAnsi"/>
                <w:lang w:val="en-GB"/>
              </w:rPr>
            </w:pPr>
            <w:r w:rsidRPr="00542715">
              <w:rPr>
                <w:rFonts w:asciiTheme="minorHAnsi" w:hAnsiTheme="minorHAnsi" w:cstheme="minorHAnsi"/>
                <w:lang w:val="en-US"/>
              </w:rPr>
              <w:t xml:space="preserve">6% of the Shares to be vested for the fiscal year ending </w:t>
            </w:r>
            <w:r w:rsidR="00247DBE" w:rsidRPr="00542715">
              <w:rPr>
                <w:rFonts w:asciiTheme="minorHAnsi" w:hAnsiTheme="minorHAnsi" w:cstheme="minorHAnsi"/>
                <w:lang w:val="en-US"/>
              </w:rPr>
              <w:t>31</w:t>
            </w:r>
            <w:r w:rsidR="00247DBE" w:rsidRPr="00542715">
              <w:rPr>
                <w:rFonts w:asciiTheme="minorHAnsi" w:hAnsiTheme="minorHAnsi" w:cstheme="minorHAnsi"/>
              </w:rPr>
              <w:t> </w:t>
            </w:r>
            <w:r w:rsidR="00247DBE" w:rsidRPr="00542715">
              <w:rPr>
                <w:rFonts w:asciiTheme="minorHAnsi" w:hAnsiTheme="minorHAnsi" w:cstheme="minorHAnsi"/>
                <w:lang w:val="en-US"/>
              </w:rPr>
              <w:t xml:space="preserve">December 2022 </w:t>
            </w:r>
            <w:r w:rsidRPr="00542715">
              <w:rPr>
                <w:rFonts w:asciiTheme="minorHAnsi" w:hAnsiTheme="minorHAnsi" w:cstheme="minorHAnsi"/>
                <w:lang w:val="en-US"/>
              </w:rPr>
              <w:t>shall be distributed, subject to the satisfaction of the conditions and formalities set forth in the Plan, to Eligible Employees as set forth in</w:t>
            </w:r>
            <w:r w:rsidR="00247DBE" w:rsidRPr="00542715">
              <w:rPr>
                <w:rFonts w:asciiTheme="minorHAnsi" w:hAnsiTheme="minorHAnsi" w:cstheme="minorHAnsi"/>
                <w:lang w:val="en-US"/>
              </w:rPr>
              <w:t xml:space="preserve"> Annex </w:t>
            </w:r>
            <w:r w:rsidRPr="00542715">
              <w:rPr>
                <w:rFonts w:asciiTheme="minorHAnsi" w:hAnsiTheme="minorHAnsi" w:cstheme="minorHAnsi"/>
                <w:lang w:val="en-US"/>
              </w:rPr>
              <w:t>1</w:t>
            </w:r>
            <w:r w:rsidR="00247DBE" w:rsidRPr="00542715">
              <w:rPr>
                <w:rFonts w:asciiTheme="minorHAnsi" w:hAnsiTheme="minorHAnsi" w:cstheme="minorHAnsi"/>
                <w:lang w:val="en-US"/>
              </w:rPr>
              <w:t> </w:t>
            </w:r>
            <w:r w:rsidRPr="00542715">
              <w:rPr>
                <w:rFonts w:asciiTheme="minorHAnsi" w:hAnsiTheme="minorHAnsi" w:cstheme="minorHAnsi"/>
                <w:lang w:val="en-US"/>
              </w:rPr>
              <w:t>C to the Plan</w:t>
            </w:r>
            <w:r w:rsidRPr="00542715">
              <w:rPr>
                <w:rFonts w:asciiTheme="minorHAnsi" w:hAnsiTheme="minorHAnsi" w:cstheme="minorHAnsi"/>
              </w:rPr>
              <w:t>.</w:t>
            </w:r>
          </w:p>
        </w:tc>
      </w:tr>
      <w:tr w:rsidR="0035646C" w:rsidRPr="00FA2D06" w14:paraId="5C27568C" w14:textId="77777777" w:rsidTr="006665A7">
        <w:tc>
          <w:tcPr>
            <w:tcW w:w="4803" w:type="dxa"/>
          </w:tcPr>
          <w:p w14:paraId="4A2D9B2B" w14:textId="44FDEBB4" w:rsidR="0035646C" w:rsidRPr="0035646C" w:rsidRDefault="0035646C" w:rsidP="006470A1">
            <w:pPr>
              <w:pStyle w:val="BodyText"/>
              <w:spacing w:before="69" w:after="140" w:line="280" w:lineRule="exact"/>
              <w:jc w:val="both"/>
              <w:rPr>
                <w:rFonts w:asciiTheme="minorHAnsi" w:hAnsiTheme="minorHAnsi" w:cstheme="minorHAnsi"/>
                <w:b/>
                <w:bCs/>
              </w:rPr>
            </w:pPr>
            <w:r>
              <w:rPr>
                <w:rFonts w:asciiTheme="minorHAnsi" w:hAnsiTheme="minorHAnsi" w:cstheme="minorHAnsi"/>
                <w:b/>
                <w:bCs/>
              </w:rPr>
              <w:lastRenderedPageBreak/>
              <w:t>Punctul 8 de pe ordinea de zi:</w:t>
            </w:r>
          </w:p>
        </w:tc>
        <w:tc>
          <w:tcPr>
            <w:tcW w:w="4804" w:type="dxa"/>
          </w:tcPr>
          <w:p w14:paraId="52A69823" w14:textId="4ACC79A6" w:rsidR="0035646C" w:rsidRPr="0035646C" w:rsidRDefault="0035646C" w:rsidP="00293202">
            <w:pPr>
              <w:pStyle w:val="BodyText"/>
              <w:spacing w:before="69" w:after="140" w:line="280" w:lineRule="exact"/>
              <w:jc w:val="both"/>
              <w:rPr>
                <w:rFonts w:asciiTheme="minorHAnsi" w:hAnsiTheme="minorHAnsi" w:cstheme="minorHAnsi"/>
                <w:b/>
                <w:bCs/>
                <w:lang w:val="fr-BE"/>
              </w:rPr>
            </w:pPr>
            <w:r w:rsidRPr="0035646C">
              <w:rPr>
                <w:rFonts w:asciiTheme="minorHAnsi" w:hAnsiTheme="minorHAnsi" w:cstheme="minorHAnsi"/>
                <w:b/>
                <w:bCs/>
                <w:lang w:val="fr-BE"/>
              </w:rPr>
              <w:t>Item 8 on the agenda:</w:t>
            </w:r>
          </w:p>
        </w:tc>
      </w:tr>
      <w:tr w:rsidR="0035646C" w:rsidRPr="00FA2D06" w14:paraId="69A922DF" w14:textId="77777777" w:rsidTr="006665A7">
        <w:tc>
          <w:tcPr>
            <w:tcW w:w="4803" w:type="dxa"/>
          </w:tcPr>
          <w:p w14:paraId="6EC3CEAB" w14:textId="61B0E511" w:rsidR="0035646C" w:rsidRPr="00542715" w:rsidRDefault="00106053" w:rsidP="006470A1">
            <w:pPr>
              <w:pStyle w:val="BodyText"/>
              <w:spacing w:before="69" w:after="140" w:line="280" w:lineRule="exact"/>
              <w:jc w:val="both"/>
              <w:rPr>
                <w:rFonts w:asciiTheme="minorHAnsi" w:hAnsiTheme="minorHAnsi" w:cstheme="minorHAnsi"/>
              </w:rPr>
            </w:pPr>
            <w:r>
              <w:rPr>
                <w:rFonts w:asciiTheme="minorHAnsi" w:hAnsiTheme="minorHAnsi" w:cstheme="minorHAnsi"/>
              </w:rPr>
              <w:t xml:space="preserve">Punctul 8 de pe ordinea de zi se referă la aprobarea de către AGOA a termenilor principali ai contractului de mandat care va fi încheiat între Societate și Directorul General care va fi numit de Consiliul de Administrație. </w:t>
            </w:r>
            <w:r w:rsidRPr="00106053">
              <w:rPr>
                <w:rFonts w:asciiTheme="minorHAnsi" w:hAnsiTheme="minorHAnsi" w:cstheme="minorHAnsi"/>
              </w:rPr>
              <w:t xml:space="preserve">Printre altele, </w:t>
            </w:r>
            <w:r>
              <w:rPr>
                <w:rFonts w:asciiTheme="minorHAnsi" w:hAnsiTheme="minorHAnsi" w:cstheme="minorHAnsi"/>
              </w:rPr>
              <w:t>aceștia</w:t>
            </w:r>
            <w:r w:rsidRPr="00106053">
              <w:rPr>
                <w:rFonts w:asciiTheme="minorHAnsi" w:hAnsiTheme="minorHAnsi" w:cstheme="minorHAnsi"/>
              </w:rPr>
              <w:t xml:space="preserve"> cuprind prevederi cu privire la următoarele clauzele esențiale ale contract</w:t>
            </w:r>
            <w:r>
              <w:rPr>
                <w:rFonts w:asciiTheme="minorHAnsi" w:hAnsiTheme="minorHAnsi" w:cstheme="minorHAnsi"/>
              </w:rPr>
              <w:t>ului</w:t>
            </w:r>
            <w:r w:rsidRPr="00106053">
              <w:rPr>
                <w:rFonts w:asciiTheme="minorHAnsi" w:hAnsiTheme="minorHAnsi" w:cstheme="minorHAnsi"/>
              </w:rPr>
              <w:t xml:space="preserve"> de mandat: (i) atribuțiile </w:t>
            </w:r>
            <w:r>
              <w:rPr>
                <w:rFonts w:asciiTheme="minorHAnsi" w:hAnsiTheme="minorHAnsi" w:cstheme="minorHAnsi"/>
              </w:rPr>
              <w:t>generale</w:t>
            </w:r>
            <w:r w:rsidRPr="00106053">
              <w:rPr>
                <w:rFonts w:asciiTheme="minorHAnsi" w:hAnsiTheme="minorHAnsi" w:cstheme="minorHAnsi"/>
              </w:rPr>
              <w:t xml:space="preserve"> ale </w:t>
            </w:r>
            <w:r>
              <w:rPr>
                <w:rFonts w:asciiTheme="minorHAnsi" w:hAnsiTheme="minorHAnsi" w:cstheme="minorHAnsi"/>
              </w:rPr>
              <w:t>Directorului General</w:t>
            </w:r>
            <w:r w:rsidRPr="00106053">
              <w:rPr>
                <w:rFonts w:asciiTheme="minorHAnsi" w:hAnsiTheme="minorHAnsi" w:cstheme="minorHAnsi"/>
              </w:rPr>
              <w:t xml:space="preserve">; (ii) remunerația </w:t>
            </w:r>
            <w:r>
              <w:rPr>
                <w:rFonts w:asciiTheme="minorHAnsi" w:hAnsiTheme="minorHAnsi" w:cstheme="minorHAnsi"/>
              </w:rPr>
              <w:t>fixă a Directorului General (AGOA fiind competentă să stabilească limitele generale ale acesteia, respectiv o sumă netă cuprinsă între 7.000 RON și 15.000 RON)</w:t>
            </w:r>
            <w:r w:rsidRPr="00106053">
              <w:rPr>
                <w:rFonts w:asciiTheme="minorHAnsi" w:hAnsiTheme="minorHAnsi" w:cstheme="minorHAnsi"/>
              </w:rPr>
              <w:t xml:space="preserve">; (iii) durata contractului de mandat; (iv) cheltuieli și facilitați; (v) proprietate intelectuală; (vi) răspunderea </w:t>
            </w:r>
            <w:r>
              <w:rPr>
                <w:rFonts w:asciiTheme="minorHAnsi" w:hAnsiTheme="minorHAnsi" w:cstheme="minorHAnsi"/>
              </w:rPr>
              <w:t>Directorului General</w:t>
            </w:r>
            <w:r w:rsidRPr="00106053">
              <w:rPr>
                <w:rFonts w:asciiTheme="minorHAnsi" w:hAnsiTheme="minorHAnsi" w:cstheme="minorHAnsi"/>
              </w:rPr>
              <w:t>; (vii) cazuri de încetare ale contractului de mandat; și (viii) legea aplicabilă și jurisdicția.</w:t>
            </w:r>
          </w:p>
        </w:tc>
        <w:tc>
          <w:tcPr>
            <w:tcW w:w="4804" w:type="dxa"/>
          </w:tcPr>
          <w:p w14:paraId="68DC6204" w14:textId="115B921D" w:rsidR="0035646C" w:rsidRPr="00106053" w:rsidRDefault="00106053" w:rsidP="00293202">
            <w:pPr>
              <w:pStyle w:val="BodyText"/>
              <w:spacing w:before="69" w:after="140" w:line="280" w:lineRule="exact"/>
              <w:jc w:val="both"/>
              <w:rPr>
                <w:rFonts w:asciiTheme="minorHAnsi" w:hAnsiTheme="minorHAnsi" w:cstheme="minorHAnsi"/>
              </w:rPr>
            </w:pPr>
            <w:r w:rsidRPr="00106053">
              <w:rPr>
                <w:rFonts w:asciiTheme="minorHAnsi" w:hAnsiTheme="minorHAnsi" w:cstheme="minorHAnsi"/>
                <w:lang w:val="en-GB"/>
              </w:rPr>
              <w:t>Item 8 on the agenda refers to the approval by the OGMS of the main terms of the mandate agreement to be concluded between the Company and the General Manager to be appointed by the Board of Directors. Among others, the terms include provisions regarding the following key clauses of the mandate agreement: (</w:t>
            </w:r>
            <w:proofErr w:type="spellStart"/>
            <w:r w:rsidRPr="00106053">
              <w:rPr>
                <w:rFonts w:asciiTheme="minorHAnsi" w:hAnsiTheme="minorHAnsi" w:cstheme="minorHAnsi"/>
                <w:lang w:val="en-GB"/>
              </w:rPr>
              <w:t>i</w:t>
            </w:r>
            <w:proofErr w:type="spellEnd"/>
            <w:r w:rsidRPr="00106053">
              <w:rPr>
                <w:rFonts w:asciiTheme="minorHAnsi" w:hAnsiTheme="minorHAnsi" w:cstheme="minorHAnsi"/>
                <w:lang w:val="en-GB"/>
              </w:rPr>
              <w:t>) the general prerogative of the General Manager; (ii) the fixed remuneration of the General Manager (the OGMS being competent to establish the general limits of such remuneration, respectively a net amount between RON 7,000 and RON 15,000); (iii) the duration of the mandate agreement; (iv) expenses and facilities; (v) intellectual property; (vi) liabilit</w:t>
            </w:r>
            <w:r w:rsidR="003B0784">
              <w:rPr>
                <w:rFonts w:asciiTheme="minorHAnsi" w:hAnsiTheme="minorHAnsi" w:cstheme="minorHAnsi"/>
                <w:lang w:val="en-GB"/>
              </w:rPr>
              <w:t>y</w:t>
            </w:r>
            <w:r w:rsidRPr="00106053">
              <w:rPr>
                <w:rFonts w:asciiTheme="minorHAnsi" w:hAnsiTheme="minorHAnsi" w:cstheme="minorHAnsi"/>
                <w:lang w:val="en-GB"/>
              </w:rPr>
              <w:t xml:space="preserve"> of the General Manager; (vii) termination events regarding the mandate agreement; and (viii) the applicable law and jurisdiction.</w:t>
            </w:r>
          </w:p>
        </w:tc>
      </w:tr>
    </w:tbl>
    <w:p w14:paraId="068FBE5B" w14:textId="50E2222C" w:rsidR="00FB0A83" w:rsidRPr="00FA2D06" w:rsidRDefault="00FB0A83" w:rsidP="006665A7">
      <w:pPr>
        <w:pStyle w:val="BodyText"/>
        <w:spacing w:before="69" w:afterLines="140" w:after="336" w:line="280" w:lineRule="exact"/>
        <w:ind w:right="56"/>
        <w:jc w:val="both"/>
      </w:pPr>
    </w:p>
    <w:sectPr w:rsidR="00FB0A83" w:rsidRPr="00FA2D06" w:rsidSect="00F033FF">
      <w:headerReference w:type="default" r:id="rId8"/>
      <w:footerReference w:type="default" r:id="rId9"/>
      <w:pgSz w:w="11910" w:h="16840"/>
      <w:pgMar w:top="1880" w:right="1300" w:bottom="1460" w:left="993" w:header="502" w:footer="1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464B" w14:textId="77777777" w:rsidR="00841EFD" w:rsidRDefault="00841EFD">
      <w:r>
        <w:separator/>
      </w:r>
    </w:p>
  </w:endnote>
  <w:endnote w:type="continuationSeparator" w:id="0">
    <w:p w14:paraId="27A8E3A2" w14:textId="77777777" w:rsidR="00841EFD" w:rsidRDefault="0084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2A77" w14:textId="1AD935D7" w:rsidR="00FB0A83" w:rsidRDefault="00F81868">
    <w:pPr>
      <w:pStyle w:val="BodyText"/>
      <w:spacing w:line="14" w:lineRule="auto"/>
    </w:pPr>
    <w:r>
      <w:rPr>
        <w:noProof/>
        <w:lang w:val="en-US"/>
      </w:rPr>
      <mc:AlternateContent>
        <mc:Choice Requires="wps">
          <w:drawing>
            <wp:anchor distT="0" distB="0" distL="114300" distR="114300" simplePos="0" relativeHeight="251658240" behindDoc="1" locked="0" layoutInCell="1" allowOverlap="1" wp14:anchorId="68F50F26" wp14:editId="4EA97221">
              <wp:simplePos x="0" y="0"/>
              <wp:positionH relativeFrom="page">
                <wp:posOffset>2104292</wp:posOffset>
              </wp:positionH>
              <wp:positionV relativeFrom="page">
                <wp:posOffset>9741877</wp:posOffset>
              </wp:positionV>
              <wp:extent cx="3352165" cy="779585"/>
              <wp:effectExtent l="0" t="0" r="635" b="190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77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107B" w14:textId="77777777" w:rsidR="00FB0A83" w:rsidRDefault="00C05C32" w:rsidP="000933EC">
                          <w:pPr>
                            <w:spacing w:after="0" w:line="202" w:lineRule="exact"/>
                            <w:ind w:left="29" w:right="17"/>
                            <w:jc w:val="center"/>
                            <w:rPr>
                              <w:rFonts w:ascii="Corbel"/>
                              <w:b/>
                              <w:sz w:val="18"/>
                            </w:rPr>
                          </w:pPr>
                          <w:r>
                            <w:rPr>
                              <w:rFonts w:ascii="Corbel"/>
                              <w:b/>
                              <w:sz w:val="18"/>
                            </w:rPr>
                            <w:t>Holde</w:t>
                          </w:r>
                          <w:r>
                            <w:rPr>
                              <w:rFonts w:ascii="Corbel"/>
                              <w:b/>
                              <w:spacing w:val="-8"/>
                              <w:sz w:val="18"/>
                            </w:rPr>
                            <w:t xml:space="preserve"> </w:t>
                          </w:r>
                          <w:proofErr w:type="spellStart"/>
                          <w:r>
                            <w:rPr>
                              <w:rFonts w:ascii="Corbel"/>
                              <w:b/>
                              <w:sz w:val="18"/>
                            </w:rPr>
                            <w:t>Agri</w:t>
                          </w:r>
                          <w:proofErr w:type="spellEnd"/>
                          <w:r>
                            <w:rPr>
                              <w:rFonts w:ascii="Corbel"/>
                              <w:b/>
                              <w:spacing w:val="-3"/>
                              <w:sz w:val="18"/>
                            </w:rPr>
                            <w:t xml:space="preserve"> </w:t>
                          </w:r>
                          <w:r>
                            <w:rPr>
                              <w:rFonts w:ascii="Corbel"/>
                              <w:b/>
                              <w:sz w:val="18"/>
                            </w:rPr>
                            <w:t>Invest</w:t>
                          </w:r>
                          <w:r>
                            <w:rPr>
                              <w:rFonts w:ascii="Corbel"/>
                              <w:b/>
                              <w:spacing w:val="-2"/>
                              <w:sz w:val="18"/>
                            </w:rPr>
                            <w:t xml:space="preserve"> </w:t>
                          </w:r>
                          <w:r>
                            <w:rPr>
                              <w:rFonts w:ascii="Corbel"/>
                              <w:b/>
                              <w:spacing w:val="-4"/>
                              <w:sz w:val="18"/>
                            </w:rPr>
                            <w:t>S.A.</w:t>
                          </w:r>
                        </w:p>
                        <w:p w14:paraId="39ABF2D6" w14:textId="77777777" w:rsidR="00FB0A83" w:rsidRDefault="00C05C32" w:rsidP="000933EC">
                          <w:pPr>
                            <w:spacing w:after="0" w:line="217" w:lineRule="exact"/>
                            <w:ind w:left="29" w:right="21"/>
                            <w:jc w:val="center"/>
                            <w:rPr>
                              <w:rFonts w:ascii="Corbel" w:hAnsi="Corbel"/>
                              <w:sz w:val="18"/>
                            </w:rPr>
                          </w:pPr>
                          <w:r>
                            <w:rPr>
                              <w:rFonts w:ascii="Corbel" w:hAnsi="Corbel"/>
                              <w:sz w:val="18"/>
                            </w:rPr>
                            <w:t>Nr.</w:t>
                          </w:r>
                          <w:r>
                            <w:rPr>
                              <w:rFonts w:ascii="Corbel" w:hAnsi="Corbel"/>
                              <w:spacing w:val="-3"/>
                              <w:sz w:val="18"/>
                            </w:rPr>
                            <w:t xml:space="preserve"> </w:t>
                          </w:r>
                          <w:r>
                            <w:rPr>
                              <w:rFonts w:ascii="Corbel" w:hAnsi="Corbel"/>
                              <w:sz w:val="18"/>
                            </w:rPr>
                            <w:t>Reg.</w:t>
                          </w:r>
                          <w:r>
                            <w:rPr>
                              <w:rFonts w:ascii="Corbel" w:hAnsi="Corbel"/>
                              <w:spacing w:val="-2"/>
                              <w:sz w:val="18"/>
                            </w:rPr>
                            <w:t xml:space="preserve"> </w:t>
                          </w:r>
                          <w:r>
                            <w:rPr>
                              <w:rFonts w:ascii="Corbel" w:hAnsi="Corbel"/>
                              <w:sz w:val="18"/>
                            </w:rPr>
                            <w:t>Comerțului:</w:t>
                          </w:r>
                          <w:r>
                            <w:rPr>
                              <w:rFonts w:ascii="Corbel" w:hAnsi="Corbel"/>
                              <w:spacing w:val="-2"/>
                              <w:sz w:val="18"/>
                            </w:rPr>
                            <w:t xml:space="preserve"> </w:t>
                          </w:r>
                          <w:r>
                            <w:rPr>
                              <w:rFonts w:ascii="Corbel" w:hAnsi="Corbel"/>
                              <w:sz w:val="18"/>
                            </w:rPr>
                            <w:t>J40/9208/2018;</w:t>
                          </w:r>
                          <w:r>
                            <w:rPr>
                              <w:rFonts w:ascii="Corbel" w:hAnsi="Corbel"/>
                              <w:spacing w:val="-3"/>
                              <w:sz w:val="18"/>
                            </w:rPr>
                            <w:t xml:space="preserve"> </w:t>
                          </w:r>
                          <w:r>
                            <w:rPr>
                              <w:rFonts w:ascii="Corbel" w:hAnsi="Corbel"/>
                              <w:sz w:val="18"/>
                            </w:rPr>
                            <w:t>CUI</w:t>
                          </w:r>
                          <w:r>
                            <w:rPr>
                              <w:rFonts w:ascii="Corbel" w:hAnsi="Corbel"/>
                              <w:spacing w:val="-4"/>
                              <w:sz w:val="18"/>
                            </w:rPr>
                            <w:t xml:space="preserve"> </w:t>
                          </w:r>
                          <w:r>
                            <w:rPr>
                              <w:rFonts w:ascii="Corbel" w:hAnsi="Corbel"/>
                              <w:spacing w:val="-2"/>
                              <w:sz w:val="18"/>
                            </w:rPr>
                            <w:t>39549730</w:t>
                          </w:r>
                        </w:p>
                        <w:p w14:paraId="148FBF68" w14:textId="007950CB" w:rsidR="00FB0A83" w:rsidRDefault="00C05C32" w:rsidP="000933EC">
                          <w:pPr>
                            <w:spacing w:after="0"/>
                            <w:ind w:left="29" w:right="21"/>
                            <w:jc w:val="center"/>
                            <w:rPr>
                              <w:rFonts w:ascii="Corbel" w:hAnsi="Corbel"/>
                              <w:sz w:val="18"/>
                            </w:rPr>
                          </w:pPr>
                          <w:r>
                            <w:rPr>
                              <w:rFonts w:ascii="Corbel" w:hAnsi="Corbel"/>
                              <w:sz w:val="18"/>
                            </w:rPr>
                            <w:t>Sediu:</w:t>
                          </w:r>
                          <w:r>
                            <w:rPr>
                              <w:rFonts w:ascii="Corbel" w:hAnsi="Corbel"/>
                              <w:spacing w:val="-3"/>
                              <w:sz w:val="18"/>
                            </w:rPr>
                            <w:t xml:space="preserve"> </w:t>
                          </w:r>
                          <w:proofErr w:type="spellStart"/>
                          <w:r>
                            <w:rPr>
                              <w:rFonts w:ascii="Corbel" w:hAnsi="Corbel"/>
                              <w:sz w:val="18"/>
                            </w:rPr>
                            <w:t>Intr</w:t>
                          </w:r>
                          <w:proofErr w:type="spellEnd"/>
                          <w:r>
                            <w:rPr>
                              <w:rFonts w:ascii="Corbel" w:hAnsi="Corbel"/>
                              <w:sz w:val="18"/>
                            </w:rPr>
                            <w:t>.</w:t>
                          </w:r>
                          <w:r>
                            <w:rPr>
                              <w:rFonts w:ascii="Corbel" w:hAnsi="Corbel"/>
                              <w:spacing w:val="-4"/>
                              <w:sz w:val="18"/>
                            </w:rPr>
                            <w:t xml:space="preserve"> </w:t>
                          </w:r>
                          <w:proofErr w:type="spellStart"/>
                          <w:r>
                            <w:rPr>
                              <w:rFonts w:ascii="Corbel" w:hAnsi="Corbel"/>
                              <w:sz w:val="18"/>
                            </w:rPr>
                            <w:t>Nestorei</w:t>
                          </w:r>
                          <w:proofErr w:type="spellEnd"/>
                          <w:r>
                            <w:rPr>
                              <w:rFonts w:ascii="Corbel" w:hAnsi="Corbel"/>
                              <w:spacing w:val="-7"/>
                              <w:sz w:val="18"/>
                            </w:rPr>
                            <w:t xml:space="preserve"> </w:t>
                          </w:r>
                          <w:r>
                            <w:rPr>
                              <w:rFonts w:ascii="Corbel" w:hAnsi="Corbel"/>
                              <w:sz w:val="18"/>
                            </w:rPr>
                            <w:t>nr.</w:t>
                          </w:r>
                          <w:r>
                            <w:rPr>
                              <w:rFonts w:ascii="Corbel" w:hAnsi="Corbel"/>
                              <w:spacing w:val="-4"/>
                              <w:sz w:val="18"/>
                            </w:rPr>
                            <w:t xml:space="preserve"> </w:t>
                          </w:r>
                          <w:r>
                            <w:rPr>
                              <w:rFonts w:ascii="Corbel" w:hAnsi="Corbel"/>
                              <w:sz w:val="18"/>
                            </w:rPr>
                            <w:t>1,</w:t>
                          </w:r>
                          <w:r>
                            <w:rPr>
                              <w:rFonts w:ascii="Corbel" w:hAnsi="Corbel"/>
                              <w:spacing w:val="-3"/>
                              <w:sz w:val="18"/>
                            </w:rPr>
                            <w:t xml:space="preserve"> </w:t>
                          </w:r>
                          <w:r>
                            <w:rPr>
                              <w:rFonts w:ascii="Corbel" w:hAnsi="Corbel"/>
                              <w:sz w:val="18"/>
                            </w:rPr>
                            <w:t>Corp</w:t>
                          </w:r>
                          <w:r>
                            <w:rPr>
                              <w:rFonts w:ascii="Corbel" w:hAnsi="Corbel"/>
                              <w:spacing w:val="-6"/>
                              <w:sz w:val="18"/>
                            </w:rPr>
                            <w:t xml:space="preserve"> </w:t>
                          </w:r>
                          <w:r>
                            <w:rPr>
                              <w:rFonts w:ascii="Corbel" w:hAnsi="Corbel"/>
                              <w:sz w:val="18"/>
                            </w:rPr>
                            <w:t>B,</w:t>
                          </w:r>
                          <w:r>
                            <w:rPr>
                              <w:rFonts w:ascii="Corbel" w:hAnsi="Corbel"/>
                              <w:spacing w:val="-3"/>
                              <w:sz w:val="18"/>
                            </w:rPr>
                            <w:t xml:space="preserve"> </w:t>
                          </w:r>
                          <w:r>
                            <w:rPr>
                              <w:rFonts w:ascii="Corbel" w:hAnsi="Corbel"/>
                              <w:sz w:val="18"/>
                            </w:rPr>
                            <w:t>Etaj</w:t>
                          </w:r>
                          <w:r>
                            <w:rPr>
                              <w:rFonts w:ascii="Corbel" w:hAnsi="Corbel"/>
                              <w:spacing w:val="-4"/>
                              <w:sz w:val="18"/>
                            </w:rPr>
                            <w:t xml:space="preserve"> </w:t>
                          </w:r>
                          <w:r>
                            <w:rPr>
                              <w:rFonts w:ascii="Corbel" w:hAnsi="Corbel"/>
                              <w:sz w:val="18"/>
                            </w:rPr>
                            <w:t>10,</w:t>
                          </w:r>
                          <w:r>
                            <w:rPr>
                              <w:rFonts w:ascii="Corbel" w:hAnsi="Corbel"/>
                              <w:spacing w:val="-3"/>
                              <w:sz w:val="18"/>
                            </w:rPr>
                            <w:t xml:space="preserve"> </w:t>
                          </w:r>
                          <w:r>
                            <w:rPr>
                              <w:rFonts w:ascii="Corbel" w:hAnsi="Corbel"/>
                              <w:sz w:val="18"/>
                            </w:rPr>
                            <w:t>Sector</w:t>
                          </w:r>
                          <w:r>
                            <w:rPr>
                              <w:rFonts w:ascii="Corbel" w:hAnsi="Corbel"/>
                              <w:spacing w:val="-6"/>
                              <w:sz w:val="18"/>
                            </w:rPr>
                            <w:t xml:space="preserve"> </w:t>
                          </w:r>
                          <w:r>
                            <w:rPr>
                              <w:rFonts w:ascii="Corbel" w:hAnsi="Corbel"/>
                              <w:sz w:val="18"/>
                            </w:rPr>
                            <w:t>4,</w:t>
                          </w:r>
                          <w:r>
                            <w:rPr>
                              <w:rFonts w:ascii="Corbel" w:hAnsi="Corbel"/>
                              <w:spacing w:val="-3"/>
                              <w:sz w:val="18"/>
                            </w:rPr>
                            <w:t xml:space="preserve"> </w:t>
                          </w:r>
                          <w:r>
                            <w:rPr>
                              <w:rFonts w:ascii="Corbel" w:hAnsi="Corbel"/>
                              <w:sz w:val="18"/>
                            </w:rPr>
                            <w:t>București,</w:t>
                          </w:r>
                          <w:r>
                            <w:rPr>
                              <w:rFonts w:ascii="Corbel" w:hAnsi="Corbel"/>
                              <w:spacing w:val="-3"/>
                              <w:sz w:val="18"/>
                            </w:rPr>
                            <w:t xml:space="preserve"> </w:t>
                          </w:r>
                          <w:r>
                            <w:rPr>
                              <w:rFonts w:ascii="Corbel" w:hAnsi="Corbel"/>
                              <w:sz w:val="18"/>
                            </w:rPr>
                            <w:t>Romania</w:t>
                          </w:r>
                          <w:r>
                            <w:rPr>
                              <w:rFonts w:ascii="Corbel" w:hAnsi="Corbel"/>
                              <w:spacing w:val="40"/>
                              <w:sz w:val="18"/>
                            </w:rPr>
                            <w:t xml:space="preserve"> </w:t>
                          </w:r>
                          <w:r>
                            <w:rPr>
                              <w:rFonts w:ascii="Corbel" w:hAnsi="Corbel"/>
                              <w:sz w:val="18"/>
                            </w:rPr>
                            <w:t xml:space="preserve">Capital social subscris vărsat: </w:t>
                          </w:r>
                          <w:r w:rsidR="00957FF1" w:rsidRPr="00957FF1">
                            <w:rPr>
                              <w:rFonts w:ascii="Corbel" w:hAnsi="Corbel"/>
                              <w:sz w:val="18"/>
                            </w:rPr>
                            <w:t>97.977.589</w:t>
                          </w:r>
                          <w:r w:rsidR="00957FF1">
                            <w:rPr>
                              <w:rFonts w:ascii="Corbel" w:hAnsi="Corbel"/>
                              <w:sz w:val="18"/>
                            </w:rPr>
                            <w:t xml:space="preserve"> RON</w:t>
                          </w:r>
                        </w:p>
                        <w:p w14:paraId="69AEAD14" w14:textId="77777777" w:rsidR="00FB0A83" w:rsidRDefault="00000000">
                          <w:pPr>
                            <w:spacing w:line="216" w:lineRule="exact"/>
                            <w:ind w:left="20" w:right="21"/>
                            <w:jc w:val="center"/>
                            <w:rPr>
                              <w:rFonts w:ascii="Corbel"/>
                              <w:sz w:val="18"/>
                            </w:rPr>
                          </w:pPr>
                          <w:hyperlink r:id="rId1">
                            <w:r w:rsidR="00C05C32">
                              <w:rPr>
                                <w:rFonts w:ascii="Corbel"/>
                                <w:sz w:val="18"/>
                              </w:rPr>
                              <w:t>www.holde.eu</w:t>
                            </w:r>
                          </w:hyperlink>
                          <w:r w:rsidR="00C05C32">
                            <w:rPr>
                              <w:rFonts w:ascii="Corbel"/>
                              <w:spacing w:val="-3"/>
                              <w:sz w:val="18"/>
                            </w:rPr>
                            <w:t xml:space="preserve"> </w:t>
                          </w:r>
                          <w:r w:rsidR="00C05C32">
                            <w:rPr>
                              <w:rFonts w:ascii="Corbel"/>
                              <w:sz w:val="18"/>
                            </w:rPr>
                            <w:t>|</w:t>
                          </w:r>
                          <w:r w:rsidR="00C05C32">
                            <w:rPr>
                              <w:rFonts w:ascii="Corbel"/>
                              <w:spacing w:val="-4"/>
                              <w:sz w:val="18"/>
                            </w:rPr>
                            <w:t xml:space="preserve"> </w:t>
                          </w:r>
                          <w:hyperlink r:id="rId2">
                            <w:r w:rsidR="00C05C32">
                              <w:rPr>
                                <w:rFonts w:ascii="Corbel"/>
                                <w:spacing w:val="-2"/>
                                <w:sz w:val="18"/>
                              </w:rPr>
                              <w:t>contact@holde.eu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50F26" id="_x0000_t202" coordsize="21600,21600" o:spt="202" path="m,l,21600r21600,l21600,xe">
              <v:stroke joinstyle="miter"/>
              <v:path gradientshapeok="t" o:connecttype="rect"/>
            </v:shapetype>
            <v:shape id="docshape1" o:spid="_x0000_s1026" type="#_x0000_t202" style="position:absolute;margin-left:165.7pt;margin-top:767.1pt;width:263.95pt;height:6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" filled="f" stroked="f">
              <v:textbox inset="0,0,0,0">
                <w:txbxContent>
                  <w:p w14:paraId="1C53107B" w14:textId="77777777" w:rsidR="00FB0A83" w:rsidRDefault="00C05C32" w:rsidP="000933EC">
                    <w:pPr>
                      <w:spacing w:after="0" w:line="202" w:lineRule="exact"/>
                      <w:ind w:left="29" w:right="17"/>
                      <w:jc w:val="center"/>
                      <w:rPr>
                        <w:rFonts w:ascii="Corbel"/>
                        <w:b/>
                        <w:sz w:val="18"/>
                      </w:rPr>
                    </w:pPr>
                    <w:r>
                      <w:rPr>
                        <w:rFonts w:ascii="Corbel"/>
                        <w:b/>
                        <w:sz w:val="18"/>
                      </w:rPr>
                      <w:t>Holde</w:t>
                    </w:r>
                    <w:r>
                      <w:rPr>
                        <w:rFonts w:ascii="Corbel"/>
                        <w:b/>
                        <w:spacing w:val="-8"/>
                        <w:sz w:val="18"/>
                      </w:rPr>
                      <w:t xml:space="preserve"> </w:t>
                    </w:r>
                    <w:proofErr w:type="spellStart"/>
                    <w:r>
                      <w:rPr>
                        <w:rFonts w:ascii="Corbel"/>
                        <w:b/>
                        <w:sz w:val="18"/>
                      </w:rPr>
                      <w:t>Agri</w:t>
                    </w:r>
                    <w:proofErr w:type="spellEnd"/>
                    <w:r>
                      <w:rPr>
                        <w:rFonts w:ascii="Corbel"/>
                        <w:b/>
                        <w:spacing w:val="-3"/>
                        <w:sz w:val="18"/>
                      </w:rPr>
                      <w:t xml:space="preserve"> </w:t>
                    </w:r>
                    <w:r>
                      <w:rPr>
                        <w:rFonts w:ascii="Corbel"/>
                        <w:b/>
                        <w:sz w:val="18"/>
                      </w:rPr>
                      <w:t>Invest</w:t>
                    </w:r>
                    <w:r>
                      <w:rPr>
                        <w:rFonts w:ascii="Corbel"/>
                        <w:b/>
                        <w:spacing w:val="-2"/>
                        <w:sz w:val="18"/>
                      </w:rPr>
                      <w:t xml:space="preserve"> </w:t>
                    </w:r>
                    <w:r>
                      <w:rPr>
                        <w:rFonts w:ascii="Corbel"/>
                        <w:b/>
                        <w:spacing w:val="-4"/>
                        <w:sz w:val="18"/>
                      </w:rPr>
                      <w:t>S.A.</w:t>
                    </w:r>
                  </w:p>
                  <w:p w14:paraId="39ABF2D6" w14:textId="77777777" w:rsidR="00FB0A83" w:rsidRDefault="00C05C32" w:rsidP="000933EC">
                    <w:pPr>
                      <w:spacing w:after="0" w:line="217" w:lineRule="exact"/>
                      <w:ind w:left="29" w:right="21"/>
                      <w:jc w:val="center"/>
                      <w:rPr>
                        <w:rFonts w:ascii="Corbel" w:hAnsi="Corbel"/>
                        <w:sz w:val="18"/>
                      </w:rPr>
                    </w:pPr>
                    <w:r>
                      <w:rPr>
                        <w:rFonts w:ascii="Corbel" w:hAnsi="Corbel"/>
                        <w:sz w:val="18"/>
                      </w:rPr>
                      <w:t>Nr.</w:t>
                    </w:r>
                    <w:r>
                      <w:rPr>
                        <w:rFonts w:ascii="Corbel" w:hAnsi="Corbel"/>
                        <w:spacing w:val="-3"/>
                        <w:sz w:val="18"/>
                      </w:rPr>
                      <w:t xml:space="preserve"> </w:t>
                    </w:r>
                    <w:r>
                      <w:rPr>
                        <w:rFonts w:ascii="Corbel" w:hAnsi="Corbel"/>
                        <w:sz w:val="18"/>
                      </w:rPr>
                      <w:t>Reg.</w:t>
                    </w:r>
                    <w:r>
                      <w:rPr>
                        <w:rFonts w:ascii="Corbel" w:hAnsi="Corbel"/>
                        <w:spacing w:val="-2"/>
                        <w:sz w:val="18"/>
                      </w:rPr>
                      <w:t xml:space="preserve"> </w:t>
                    </w:r>
                    <w:r>
                      <w:rPr>
                        <w:rFonts w:ascii="Corbel" w:hAnsi="Corbel"/>
                        <w:sz w:val="18"/>
                      </w:rPr>
                      <w:t>Comerțului:</w:t>
                    </w:r>
                    <w:r>
                      <w:rPr>
                        <w:rFonts w:ascii="Corbel" w:hAnsi="Corbel"/>
                        <w:spacing w:val="-2"/>
                        <w:sz w:val="18"/>
                      </w:rPr>
                      <w:t xml:space="preserve"> </w:t>
                    </w:r>
                    <w:r>
                      <w:rPr>
                        <w:rFonts w:ascii="Corbel" w:hAnsi="Corbel"/>
                        <w:sz w:val="18"/>
                      </w:rPr>
                      <w:t>J40/9208/2018;</w:t>
                    </w:r>
                    <w:r>
                      <w:rPr>
                        <w:rFonts w:ascii="Corbel" w:hAnsi="Corbel"/>
                        <w:spacing w:val="-3"/>
                        <w:sz w:val="18"/>
                      </w:rPr>
                      <w:t xml:space="preserve"> </w:t>
                    </w:r>
                    <w:r>
                      <w:rPr>
                        <w:rFonts w:ascii="Corbel" w:hAnsi="Corbel"/>
                        <w:sz w:val="18"/>
                      </w:rPr>
                      <w:t>CUI</w:t>
                    </w:r>
                    <w:r>
                      <w:rPr>
                        <w:rFonts w:ascii="Corbel" w:hAnsi="Corbel"/>
                        <w:spacing w:val="-4"/>
                        <w:sz w:val="18"/>
                      </w:rPr>
                      <w:t xml:space="preserve"> </w:t>
                    </w:r>
                    <w:r>
                      <w:rPr>
                        <w:rFonts w:ascii="Corbel" w:hAnsi="Corbel"/>
                        <w:spacing w:val="-2"/>
                        <w:sz w:val="18"/>
                      </w:rPr>
                      <w:t>39549730</w:t>
                    </w:r>
                  </w:p>
                  <w:p w14:paraId="148FBF68" w14:textId="007950CB" w:rsidR="00FB0A83" w:rsidRDefault="00C05C32" w:rsidP="000933EC">
                    <w:pPr>
                      <w:spacing w:after="0"/>
                      <w:ind w:left="29" w:right="21"/>
                      <w:jc w:val="center"/>
                      <w:rPr>
                        <w:rFonts w:ascii="Corbel" w:hAnsi="Corbel"/>
                        <w:sz w:val="18"/>
                      </w:rPr>
                    </w:pPr>
                    <w:r>
                      <w:rPr>
                        <w:rFonts w:ascii="Corbel" w:hAnsi="Corbel"/>
                        <w:sz w:val="18"/>
                      </w:rPr>
                      <w:t>Sediu:</w:t>
                    </w:r>
                    <w:r>
                      <w:rPr>
                        <w:rFonts w:ascii="Corbel" w:hAnsi="Corbel"/>
                        <w:spacing w:val="-3"/>
                        <w:sz w:val="18"/>
                      </w:rPr>
                      <w:t xml:space="preserve"> </w:t>
                    </w:r>
                    <w:proofErr w:type="spellStart"/>
                    <w:r>
                      <w:rPr>
                        <w:rFonts w:ascii="Corbel" w:hAnsi="Corbel"/>
                        <w:sz w:val="18"/>
                      </w:rPr>
                      <w:t>Intr</w:t>
                    </w:r>
                    <w:proofErr w:type="spellEnd"/>
                    <w:r>
                      <w:rPr>
                        <w:rFonts w:ascii="Corbel" w:hAnsi="Corbel"/>
                        <w:sz w:val="18"/>
                      </w:rPr>
                      <w:t>.</w:t>
                    </w:r>
                    <w:r>
                      <w:rPr>
                        <w:rFonts w:ascii="Corbel" w:hAnsi="Corbel"/>
                        <w:spacing w:val="-4"/>
                        <w:sz w:val="18"/>
                      </w:rPr>
                      <w:t xml:space="preserve"> </w:t>
                    </w:r>
                    <w:proofErr w:type="spellStart"/>
                    <w:r>
                      <w:rPr>
                        <w:rFonts w:ascii="Corbel" w:hAnsi="Corbel"/>
                        <w:sz w:val="18"/>
                      </w:rPr>
                      <w:t>Nestorei</w:t>
                    </w:r>
                    <w:proofErr w:type="spellEnd"/>
                    <w:r>
                      <w:rPr>
                        <w:rFonts w:ascii="Corbel" w:hAnsi="Corbel"/>
                        <w:spacing w:val="-7"/>
                        <w:sz w:val="18"/>
                      </w:rPr>
                      <w:t xml:space="preserve"> </w:t>
                    </w:r>
                    <w:r>
                      <w:rPr>
                        <w:rFonts w:ascii="Corbel" w:hAnsi="Corbel"/>
                        <w:sz w:val="18"/>
                      </w:rPr>
                      <w:t>nr.</w:t>
                    </w:r>
                    <w:r>
                      <w:rPr>
                        <w:rFonts w:ascii="Corbel" w:hAnsi="Corbel"/>
                        <w:spacing w:val="-4"/>
                        <w:sz w:val="18"/>
                      </w:rPr>
                      <w:t xml:space="preserve"> </w:t>
                    </w:r>
                    <w:r>
                      <w:rPr>
                        <w:rFonts w:ascii="Corbel" w:hAnsi="Corbel"/>
                        <w:sz w:val="18"/>
                      </w:rPr>
                      <w:t>1,</w:t>
                    </w:r>
                    <w:r>
                      <w:rPr>
                        <w:rFonts w:ascii="Corbel" w:hAnsi="Corbel"/>
                        <w:spacing w:val="-3"/>
                        <w:sz w:val="18"/>
                      </w:rPr>
                      <w:t xml:space="preserve"> </w:t>
                    </w:r>
                    <w:r>
                      <w:rPr>
                        <w:rFonts w:ascii="Corbel" w:hAnsi="Corbel"/>
                        <w:sz w:val="18"/>
                      </w:rPr>
                      <w:t>Corp</w:t>
                    </w:r>
                    <w:r>
                      <w:rPr>
                        <w:rFonts w:ascii="Corbel" w:hAnsi="Corbel"/>
                        <w:spacing w:val="-6"/>
                        <w:sz w:val="18"/>
                      </w:rPr>
                      <w:t xml:space="preserve"> </w:t>
                    </w:r>
                    <w:r>
                      <w:rPr>
                        <w:rFonts w:ascii="Corbel" w:hAnsi="Corbel"/>
                        <w:sz w:val="18"/>
                      </w:rPr>
                      <w:t>B,</w:t>
                    </w:r>
                    <w:r>
                      <w:rPr>
                        <w:rFonts w:ascii="Corbel" w:hAnsi="Corbel"/>
                        <w:spacing w:val="-3"/>
                        <w:sz w:val="18"/>
                      </w:rPr>
                      <w:t xml:space="preserve"> </w:t>
                    </w:r>
                    <w:r>
                      <w:rPr>
                        <w:rFonts w:ascii="Corbel" w:hAnsi="Corbel"/>
                        <w:sz w:val="18"/>
                      </w:rPr>
                      <w:t>Etaj</w:t>
                    </w:r>
                    <w:r>
                      <w:rPr>
                        <w:rFonts w:ascii="Corbel" w:hAnsi="Corbel"/>
                        <w:spacing w:val="-4"/>
                        <w:sz w:val="18"/>
                      </w:rPr>
                      <w:t xml:space="preserve"> </w:t>
                    </w:r>
                    <w:r>
                      <w:rPr>
                        <w:rFonts w:ascii="Corbel" w:hAnsi="Corbel"/>
                        <w:sz w:val="18"/>
                      </w:rPr>
                      <w:t>10,</w:t>
                    </w:r>
                    <w:r>
                      <w:rPr>
                        <w:rFonts w:ascii="Corbel" w:hAnsi="Corbel"/>
                        <w:spacing w:val="-3"/>
                        <w:sz w:val="18"/>
                      </w:rPr>
                      <w:t xml:space="preserve"> </w:t>
                    </w:r>
                    <w:r>
                      <w:rPr>
                        <w:rFonts w:ascii="Corbel" w:hAnsi="Corbel"/>
                        <w:sz w:val="18"/>
                      </w:rPr>
                      <w:t>Sector</w:t>
                    </w:r>
                    <w:r>
                      <w:rPr>
                        <w:rFonts w:ascii="Corbel" w:hAnsi="Corbel"/>
                        <w:spacing w:val="-6"/>
                        <w:sz w:val="18"/>
                      </w:rPr>
                      <w:t xml:space="preserve"> </w:t>
                    </w:r>
                    <w:r>
                      <w:rPr>
                        <w:rFonts w:ascii="Corbel" w:hAnsi="Corbel"/>
                        <w:sz w:val="18"/>
                      </w:rPr>
                      <w:t>4,</w:t>
                    </w:r>
                    <w:r>
                      <w:rPr>
                        <w:rFonts w:ascii="Corbel" w:hAnsi="Corbel"/>
                        <w:spacing w:val="-3"/>
                        <w:sz w:val="18"/>
                      </w:rPr>
                      <w:t xml:space="preserve"> </w:t>
                    </w:r>
                    <w:r>
                      <w:rPr>
                        <w:rFonts w:ascii="Corbel" w:hAnsi="Corbel"/>
                        <w:sz w:val="18"/>
                      </w:rPr>
                      <w:t>București,</w:t>
                    </w:r>
                    <w:r>
                      <w:rPr>
                        <w:rFonts w:ascii="Corbel" w:hAnsi="Corbel"/>
                        <w:spacing w:val="-3"/>
                        <w:sz w:val="18"/>
                      </w:rPr>
                      <w:t xml:space="preserve"> </w:t>
                    </w:r>
                    <w:r>
                      <w:rPr>
                        <w:rFonts w:ascii="Corbel" w:hAnsi="Corbel"/>
                        <w:sz w:val="18"/>
                      </w:rPr>
                      <w:t>Romania</w:t>
                    </w:r>
                    <w:r>
                      <w:rPr>
                        <w:rFonts w:ascii="Corbel" w:hAnsi="Corbel"/>
                        <w:spacing w:val="40"/>
                        <w:sz w:val="18"/>
                      </w:rPr>
                      <w:t xml:space="preserve"> </w:t>
                    </w:r>
                    <w:r>
                      <w:rPr>
                        <w:rFonts w:ascii="Corbel" w:hAnsi="Corbel"/>
                        <w:sz w:val="18"/>
                      </w:rPr>
                      <w:t xml:space="preserve">Capital social subscris vărsat: </w:t>
                    </w:r>
                    <w:r w:rsidR="00957FF1" w:rsidRPr="00957FF1">
                      <w:rPr>
                        <w:rFonts w:ascii="Corbel" w:hAnsi="Corbel"/>
                        <w:sz w:val="18"/>
                      </w:rPr>
                      <w:t>97.977.589</w:t>
                    </w:r>
                    <w:r w:rsidR="00957FF1">
                      <w:rPr>
                        <w:rFonts w:ascii="Corbel" w:hAnsi="Corbel"/>
                        <w:sz w:val="18"/>
                      </w:rPr>
                      <w:t xml:space="preserve"> RON</w:t>
                    </w:r>
                  </w:p>
                  <w:p w14:paraId="69AEAD14" w14:textId="77777777" w:rsidR="00FB0A83" w:rsidRDefault="00000000">
                    <w:pPr>
                      <w:spacing w:line="216" w:lineRule="exact"/>
                      <w:ind w:left="20" w:right="21"/>
                      <w:jc w:val="center"/>
                      <w:rPr>
                        <w:rFonts w:ascii="Corbel"/>
                        <w:sz w:val="18"/>
                      </w:rPr>
                    </w:pPr>
                    <w:hyperlink r:id="rId3">
                      <w:r w:rsidR="00C05C32">
                        <w:rPr>
                          <w:rFonts w:ascii="Corbel"/>
                          <w:sz w:val="18"/>
                        </w:rPr>
                        <w:t>www.holde.eu</w:t>
                      </w:r>
                    </w:hyperlink>
                    <w:r w:rsidR="00C05C32">
                      <w:rPr>
                        <w:rFonts w:ascii="Corbel"/>
                        <w:spacing w:val="-3"/>
                        <w:sz w:val="18"/>
                      </w:rPr>
                      <w:t xml:space="preserve"> </w:t>
                    </w:r>
                    <w:r w:rsidR="00C05C32">
                      <w:rPr>
                        <w:rFonts w:ascii="Corbel"/>
                        <w:sz w:val="18"/>
                      </w:rPr>
                      <w:t>|</w:t>
                    </w:r>
                    <w:r w:rsidR="00C05C32">
                      <w:rPr>
                        <w:rFonts w:ascii="Corbel"/>
                        <w:spacing w:val="-4"/>
                        <w:sz w:val="18"/>
                      </w:rPr>
                      <w:t xml:space="preserve"> </w:t>
                    </w:r>
                    <w:hyperlink r:id="rId4">
                      <w:r w:rsidR="00C05C32">
                        <w:rPr>
                          <w:rFonts w:ascii="Corbel"/>
                          <w:spacing w:val="-2"/>
                          <w:sz w:val="18"/>
                        </w:rPr>
                        <w:t>contact@holde.eu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6D3F" w14:textId="77777777" w:rsidR="00841EFD" w:rsidRDefault="00841EFD">
      <w:r>
        <w:separator/>
      </w:r>
    </w:p>
  </w:footnote>
  <w:footnote w:type="continuationSeparator" w:id="0">
    <w:p w14:paraId="3D09E1B8" w14:textId="77777777" w:rsidR="00841EFD" w:rsidRDefault="0084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C400" w14:textId="77777777" w:rsidR="00FB0A83" w:rsidRDefault="00C05C32">
    <w:pPr>
      <w:pStyle w:val="BodyText"/>
      <w:spacing w:line="14" w:lineRule="auto"/>
    </w:pPr>
    <w:r>
      <w:rPr>
        <w:noProof/>
        <w:lang w:val="en-US"/>
      </w:rPr>
      <w:drawing>
        <wp:anchor distT="0" distB="0" distL="0" distR="0" simplePos="0" relativeHeight="251657216" behindDoc="1" locked="0" layoutInCell="1" allowOverlap="1" wp14:anchorId="18664599" wp14:editId="2201A8E1">
          <wp:simplePos x="0" y="0"/>
          <wp:positionH relativeFrom="page">
            <wp:posOffset>4793615</wp:posOffset>
          </wp:positionH>
          <wp:positionV relativeFrom="page">
            <wp:posOffset>318770</wp:posOffset>
          </wp:positionV>
          <wp:extent cx="2104285" cy="739367"/>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04285" cy="7393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C78"/>
    <w:multiLevelType w:val="hybridMultilevel"/>
    <w:tmpl w:val="8596428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EA1130"/>
    <w:multiLevelType w:val="multilevel"/>
    <w:tmpl w:val="3E746198"/>
    <w:lvl w:ilvl="0">
      <w:start w:val="1"/>
      <w:numFmt w:val="upperRoman"/>
      <w:pStyle w:val="TITLE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cs="Times New Roman" w:hint="default"/>
        <w:b/>
        <w:i w:val="0"/>
        <w:color w:val="auto"/>
        <w:sz w:val="20"/>
        <w:szCs w:val="20"/>
      </w:rPr>
    </w:lvl>
    <w:lvl w:ilvl="2">
      <w:start w:val="1"/>
      <w:numFmt w:val="decimal"/>
      <w:pStyle w:val="Level2"/>
      <w:lvlText w:val="%2.%3."/>
      <w:lvlJc w:val="left"/>
      <w:rPr>
        <w:rFonts w:cs="Times New Roman"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2.%3.%4."/>
      <w:lvlJc w:val="left"/>
      <w:pPr>
        <w:tabs>
          <w:tab w:val="num" w:pos="3040"/>
        </w:tabs>
        <w:ind w:left="3040" w:hanging="700"/>
      </w:pPr>
      <w:rPr>
        <w:rFonts w:ascii="Georgia" w:hAnsi="Georgia" w:cs="Times New Roman" w:hint="default"/>
        <w:b w:val="0"/>
        <w:i w:val="0"/>
        <w:color w:val="auto"/>
        <w:sz w:val="20"/>
        <w:szCs w:val="20"/>
      </w:rPr>
    </w:lvl>
    <w:lvl w:ilvl="4">
      <w:start w:val="1"/>
      <w:numFmt w:val="lowerRoman"/>
      <w:pStyle w:val="Level4"/>
      <w:lvlText w:val="%5."/>
      <w:lvlJc w:val="left"/>
      <w:pPr>
        <w:tabs>
          <w:tab w:val="num" w:pos="1680"/>
        </w:tabs>
        <w:ind w:left="1680" w:hanging="420"/>
      </w:pPr>
      <w:rPr>
        <w:rFonts w:ascii="Georgia" w:hAnsi="Georgia" w:cs="Times New Roman" w:hint="default"/>
        <w:b w:val="0"/>
        <w:i w:val="0"/>
        <w:color w:val="auto"/>
        <w:sz w:val="20"/>
        <w:szCs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A7"/>
    <w:multiLevelType w:val="hybridMultilevel"/>
    <w:tmpl w:val="3C12DC72"/>
    <w:lvl w:ilvl="0" w:tplc="A412C91A">
      <w:start w:val="1"/>
      <w:numFmt w:val="lowerRoman"/>
      <w:lvlText w:val="(%1)"/>
      <w:lvlJc w:val="left"/>
      <w:pPr>
        <w:ind w:left="72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62801"/>
    <w:multiLevelType w:val="hybridMultilevel"/>
    <w:tmpl w:val="CA0EEFA0"/>
    <w:lvl w:ilvl="0" w:tplc="E5569CDE">
      <w:start w:val="6"/>
      <w:numFmt w:val="decimal"/>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078A6"/>
    <w:multiLevelType w:val="hybridMultilevel"/>
    <w:tmpl w:val="85964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E74A6"/>
    <w:multiLevelType w:val="hybridMultilevel"/>
    <w:tmpl w:val="F3A6AED6"/>
    <w:lvl w:ilvl="0" w:tplc="FFFFFFFF">
      <w:start w:val="1"/>
      <w:numFmt w:val="decimal"/>
      <w:lvlText w:val="%1."/>
      <w:lvlJc w:val="center"/>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F74B98"/>
    <w:multiLevelType w:val="hybridMultilevel"/>
    <w:tmpl w:val="2842AF1C"/>
    <w:lvl w:ilvl="0" w:tplc="FFFFFFFF">
      <w:start w:val="1"/>
      <w:numFmt w:val="decimal"/>
      <w:lvlText w:val="%1."/>
      <w:lvlJc w:val="center"/>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9" w15:restartNumberingAfterBreak="0">
    <w:nsid w:val="2DBD56FB"/>
    <w:multiLevelType w:val="multilevel"/>
    <w:tmpl w:val="2DC66AD8"/>
    <w:lvl w:ilvl="0">
      <w:start w:val="4"/>
      <w:numFmt w:val="decimal"/>
      <w:lvlText w:val="%1"/>
      <w:lvlJc w:val="left"/>
      <w:pPr>
        <w:ind w:left="461" w:hanging="361"/>
      </w:pPr>
      <w:rPr>
        <w:rFonts w:hint="default"/>
        <w:lang w:val="ro-RO" w:eastAsia="en-US" w:bidi="ar-SA"/>
      </w:rPr>
    </w:lvl>
    <w:lvl w:ilvl="1">
      <w:start w:val="7"/>
      <w:numFmt w:val="decimal"/>
      <w:lvlText w:val="%1.%2."/>
      <w:lvlJc w:val="left"/>
      <w:pPr>
        <w:ind w:left="461" w:hanging="361"/>
      </w:pPr>
      <w:rPr>
        <w:rFonts w:ascii="Calibri" w:eastAsia="Calibri" w:hAnsi="Calibri" w:cs="Calibri" w:hint="default"/>
        <w:b w:val="0"/>
        <w:bCs w:val="0"/>
        <w:i/>
        <w:iCs/>
        <w:spacing w:val="-2"/>
        <w:w w:val="100"/>
        <w:sz w:val="20"/>
        <w:szCs w:val="20"/>
        <w:lang w:val="ro-RO" w:eastAsia="en-US" w:bidi="ar-SA"/>
      </w:rPr>
    </w:lvl>
    <w:lvl w:ilvl="2">
      <w:start w:val="1"/>
      <w:numFmt w:val="decimal"/>
      <w:lvlText w:val="%1.%2.%3."/>
      <w:lvlJc w:val="left"/>
      <w:pPr>
        <w:ind w:left="1181" w:hanging="720"/>
        <w:jc w:val="right"/>
      </w:pPr>
      <w:rPr>
        <w:rFonts w:ascii="Calibri" w:eastAsia="Calibri" w:hAnsi="Calibri" w:cs="Calibri" w:hint="default"/>
        <w:b w:val="0"/>
        <w:bCs w:val="0"/>
        <w:i/>
        <w:iCs/>
        <w:spacing w:val="-2"/>
        <w:w w:val="100"/>
        <w:sz w:val="20"/>
        <w:szCs w:val="20"/>
        <w:lang w:val="ro-RO" w:eastAsia="en-US" w:bidi="ar-SA"/>
      </w:rPr>
    </w:lvl>
    <w:lvl w:ilvl="3">
      <w:numFmt w:val="bullet"/>
      <w:lvlText w:val="•"/>
      <w:lvlJc w:val="left"/>
      <w:pPr>
        <w:ind w:left="2976" w:hanging="720"/>
      </w:pPr>
      <w:rPr>
        <w:rFonts w:hint="default"/>
        <w:lang w:val="ro-RO" w:eastAsia="en-US" w:bidi="ar-SA"/>
      </w:rPr>
    </w:lvl>
    <w:lvl w:ilvl="4">
      <w:numFmt w:val="bullet"/>
      <w:lvlText w:val="•"/>
      <w:lvlJc w:val="left"/>
      <w:pPr>
        <w:ind w:left="3875" w:hanging="720"/>
      </w:pPr>
      <w:rPr>
        <w:rFonts w:hint="default"/>
        <w:lang w:val="ro-RO" w:eastAsia="en-US" w:bidi="ar-SA"/>
      </w:rPr>
    </w:lvl>
    <w:lvl w:ilvl="5">
      <w:numFmt w:val="bullet"/>
      <w:lvlText w:val="•"/>
      <w:lvlJc w:val="left"/>
      <w:pPr>
        <w:ind w:left="4773" w:hanging="720"/>
      </w:pPr>
      <w:rPr>
        <w:rFonts w:hint="default"/>
        <w:lang w:val="ro-RO" w:eastAsia="en-US" w:bidi="ar-SA"/>
      </w:rPr>
    </w:lvl>
    <w:lvl w:ilvl="6">
      <w:numFmt w:val="bullet"/>
      <w:lvlText w:val="•"/>
      <w:lvlJc w:val="left"/>
      <w:pPr>
        <w:ind w:left="5671" w:hanging="720"/>
      </w:pPr>
      <w:rPr>
        <w:rFonts w:hint="default"/>
        <w:lang w:val="ro-RO" w:eastAsia="en-US" w:bidi="ar-SA"/>
      </w:rPr>
    </w:lvl>
    <w:lvl w:ilvl="7">
      <w:numFmt w:val="bullet"/>
      <w:lvlText w:val="•"/>
      <w:lvlJc w:val="left"/>
      <w:pPr>
        <w:ind w:left="6570" w:hanging="720"/>
      </w:pPr>
      <w:rPr>
        <w:rFonts w:hint="default"/>
        <w:lang w:val="ro-RO" w:eastAsia="en-US" w:bidi="ar-SA"/>
      </w:rPr>
    </w:lvl>
    <w:lvl w:ilvl="8">
      <w:numFmt w:val="bullet"/>
      <w:lvlText w:val="•"/>
      <w:lvlJc w:val="left"/>
      <w:pPr>
        <w:ind w:left="7468" w:hanging="720"/>
      </w:pPr>
      <w:rPr>
        <w:rFonts w:hint="default"/>
        <w:lang w:val="ro-RO" w:eastAsia="en-US" w:bidi="ar-SA"/>
      </w:rPr>
    </w:lvl>
  </w:abstractNum>
  <w:abstractNum w:abstractNumId="10" w15:restartNumberingAfterBreak="0">
    <w:nsid w:val="2EBE6013"/>
    <w:multiLevelType w:val="hybridMultilevel"/>
    <w:tmpl w:val="2842AF1C"/>
    <w:lvl w:ilvl="0" w:tplc="0AE2CE70">
      <w:start w:val="1"/>
      <w:numFmt w:val="decimal"/>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20C09"/>
    <w:multiLevelType w:val="hybridMultilevel"/>
    <w:tmpl w:val="CBFAAB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12496E"/>
    <w:multiLevelType w:val="hybridMultilevel"/>
    <w:tmpl w:val="782CBD26"/>
    <w:lvl w:ilvl="0" w:tplc="73564BAA">
      <w:start w:val="5"/>
      <w:numFmt w:val="decimal"/>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5020B"/>
    <w:multiLevelType w:val="hybridMultilevel"/>
    <w:tmpl w:val="FBBCF77C"/>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271EC"/>
    <w:multiLevelType w:val="hybridMultilevel"/>
    <w:tmpl w:val="65F87BCA"/>
    <w:lvl w:ilvl="0" w:tplc="A412C91A">
      <w:start w:val="1"/>
      <w:numFmt w:val="lowerRoman"/>
      <w:lvlText w:val="(%1)"/>
      <w:lvlJc w:val="left"/>
      <w:pPr>
        <w:ind w:left="79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5" w15:restartNumberingAfterBreak="0">
    <w:nsid w:val="38F661C7"/>
    <w:multiLevelType w:val="hybridMultilevel"/>
    <w:tmpl w:val="65F87BCA"/>
    <w:lvl w:ilvl="0" w:tplc="FFFFFFFF">
      <w:start w:val="1"/>
      <w:numFmt w:val="lowerRoman"/>
      <w:lvlText w:val="(%1)"/>
      <w:lvlJc w:val="left"/>
      <w:pPr>
        <w:ind w:left="790" w:hanging="360"/>
      </w:pPr>
      <w:rPr>
        <w:rFonts w:ascii="Calibri" w:eastAsia="Calibri" w:hAnsi="Calibri" w:cs="Calibri" w:hint="default"/>
        <w:b w:val="0"/>
        <w:bCs w:val="0"/>
        <w:i w:val="0"/>
        <w:iCs w:val="0"/>
        <w:spacing w:val="-2"/>
        <w:w w:val="100"/>
        <w:sz w:val="20"/>
        <w:szCs w:val="20"/>
        <w:lang w:val="ro-RO" w:eastAsia="en-US" w:bidi="ar-SA"/>
      </w:r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16" w15:restartNumberingAfterBreak="0">
    <w:nsid w:val="3F710F6C"/>
    <w:multiLevelType w:val="hybridMultilevel"/>
    <w:tmpl w:val="F3A6AED6"/>
    <w:lvl w:ilvl="0" w:tplc="E3025CA6">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B6B95"/>
    <w:multiLevelType w:val="hybridMultilevel"/>
    <w:tmpl w:val="04CAF35A"/>
    <w:lvl w:ilvl="0" w:tplc="A412C91A">
      <w:start w:val="1"/>
      <w:numFmt w:val="lowerRoman"/>
      <w:lvlText w:val="(%1)"/>
      <w:lvlJc w:val="left"/>
      <w:pPr>
        <w:ind w:left="72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97AA6"/>
    <w:multiLevelType w:val="hybridMultilevel"/>
    <w:tmpl w:val="879CCF06"/>
    <w:lvl w:ilvl="0" w:tplc="3ED4D3A0">
      <w:start w:val="7"/>
      <w:numFmt w:val="decimal"/>
      <w:lvlText w:val="%1."/>
      <w:lvlJc w:val="center"/>
      <w:pPr>
        <w:ind w:left="720" w:hanging="360"/>
      </w:pPr>
      <w:rPr>
        <w:rFonts w:hint="default"/>
        <w:b/>
        <w:bCs w:val="0"/>
      </w:rPr>
    </w:lvl>
    <w:lvl w:ilvl="1" w:tplc="D012EBC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7764C"/>
    <w:multiLevelType w:val="hybridMultilevel"/>
    <w:tmpl w:val="024097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7B1B4B"/>
    <w:multiLevelType w:val="hybridMultilevel"/>
    <w:tmpl w:val="9E14FF66"/>
    <w:lvl w:ilvl="0" w:tplc="A412C91A">
      <w:start w:val="1"/>
      <w:numFmt w:val="lowerRoman"/>
      <w:lvlText w:val="(%1)"/>
      <w:lvlJc w:val="left"/>
      <w:pPr>
        <w:ind w:left="72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033FB"/>
    <w:multiLevelType w:val="hybridMultilevel"/>
    <w:tmpl w:val="561E30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2470A3"/>
    <w:multiLevelType w:val="hybridMultilevel"/>
    <w:tmpl w:val="CC9044EA"/>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435EDAB6">
      <w:start w:val="1"/>
      <w:numFmt w:val="decimal"/>
      <w:lvlText w:val="%2."/>
      <w:lvlJc w:val="left"/>
      <w:pPr>
        <w:ind w:left="666" w:hanging="566"/>
      </w:pPr>
      <w:rPr>
        <w:rFonts w:ascii="Calibri" w:eastAsia="Calibri" w:hAnsi="Calibri" w:cs="Calibr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23"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8A4B0C"/>
    <w:multiLevelType w:val="hybridMultilevel"/>
    <w:tmpl w:val="A4DE68BE"/>
    <w:lvl w:ilvl="0" w:tplc="A412C91A">
      <w:start w:val="1"/>
      <w:numFmt w:val="lowerRoman"/>
      <w:lvlText w:val="(%1)"/>
      <w:lvlJc w:val="left"/>
      <w:pPr>
        <w:ind w:left="720" w:hanging="360"/>
      </w:pPr>
      <w:rPr>
        <w:rFonts w:ascii="Calibri" w:eastAsia="Calibri" w:hAnsi="Calibri" w:cs="Calibri" w:hint="default"/>
        <w:b w:val="0"/>
        <w:bCs w:val="0"/>
        <w:i w:val="0"/>
        <w:iCs w:val="0"/>
        <w:spacing w:val="-2"/>
        <w:w w:val="100"/>
        <w:sz w:val="20"/>
        <w:szCs w:val="20"/>
        <w:lang w:val="ro-RO"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A7244"/>
    <w:multiLevelType w:val="hybridMultilevel"/>
    <w:tmpl w:val="D6507D8A"/>
    <w:lvl w:ilvl="0" w:tplc="68588CE2">
      <w:start w:val="4"/>
      <w:numFmt w:val="decimal"/>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253F7"/>
    <w:multiLevelType w:val="multilevel"/>
    <w:tmpl w:val="2BC4464C"/>
    <w:lvl w:ilvl="0">
      <w:start w:val="3"/>
      <w:numFmt w:val="decimal"/>
      <w:lvlText w:val="%1."/>
      <w:lvlJc w:val="center"/>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30339E3"/>
    <w:multiLevelType w:val="hybridMultilevel"/>
    <w:tmpl w:val="F162C8A8"/>
    <w:lvl w:ilvl="0" w:tplc="60680F2E">
      <w:start w:val="1"/>
      <w:numFmt w:val="lowerLetter"/>
      <w:lvlText w:val="%1)"/>
      <w:lvlJc w:val="left"/>
      <w:pPr>
        <w:ind w:left="1521" w:hanging="360"/>
      </w:pPr>
      <w:rPr>
        <w:rFonts w:ascii="Calibri" w:eastAsia="Calibri" w:hAnsi="Calibri" w:cs="Calibri" w:hint="default"/>
        <w:b w:val="0"/>
        <w:bCs w:val="0"/>
        <w:i w:val="0"/>
        <w:iCs w:val="0"/>
        <w:spacing w:val="-1"/>
        <w:w w:val="100"/>
        <w:sz w:val="20"/>
        <w:szCs w:val="20"/>
        <w:lang w:val="ro-RO" w:eastAsia="en-US" w:bidi="ar-SA"/>
      </w:rPr>
    </w:lvl>
    <w:lvl w:ilvl="1" w:tplc="BEECF864">
      <w:numFmt w:val="bullet"/>
      <w:lvlText w:val="•"/>
      <w:lvlJc w:val="left"/>
      <w:pPr>
        <w:ind w:left="2294" w:hanging="360"/>
      </w:pPr>
      <w:rPr>
        <w:rFonts w:hint="default"/>
        <w:lang w:val="ro-RO" w:eastAsia="en-US" w:bidi="ar-SA"/>
      </w:rPr>
    </w:lvl>
    <w:lvl w:ilvl="2" w:tplc="A10E0AEE">
      <w:numFmt w:val="bullet"/>
      <w:lvlText w:val="•"/>
      <w:lvlJc w:val="left"/>
      <w:pPr>
        <w:ind w:left="3069" w:hanging="360"/>
      </w:pPr>
      <w:rPr>
        <w:rFonts w:hint="default"/>
        <w:lang w:val="ro-RO" w:eastAsia="en-US" w:bidi="ar-SA"/>
      </w:rPr>
    </w:lvl>
    <w:lvl w:ilvl="3" w:tplc="9E9C4A86">
      <w:numFmt w:val="bullet"/>
      <w:lvlText w:val="•"/>
      <w:lvlJc w:val="left"/>
      <w:pPr>
        <w:ind w:left="3843" w:hanging="360"/>
      </w:pPr>
      <w:rPr>
        <w:rFonts w:hint="default"/>
        <w:lang w:val="ro-RO" w:eastAsia="en-US" w:bidi="ar-SA"/>
      </w:rPr>
    </w:lvl>
    <w:lvl w:ilvl="4" w:tplc="5FD84646">
      <w:numFmt w:val="bullet"/>
      <w:lvlText w:val="•"/>
      <w:lvlJc w:val="left"/>
      <w:pPr>
        <w:ind w:left="4618" w:hanging="360"/>
      </w:pPr>
      <w:rPr>
        <w:rFonts w:hint="default"/>
        <w:lang w:val="ro-RO" w:eastAsia="en-US" w:bidi="ar-SA"/>
      </w:rPr>
    </w:lvl>
    <w:lvl w:ilvl="5" w:tplc="3AFC5B72">
      <w:numFmt w:val="bullet"/>
      <w:lvlText w:val="•"/>
      <w:lvlJc w:val="left"/>
      <w:pPr>
        <w:ind w:left="5392" w:hanging="360"/>
      </w:pPr>
      <w:rPr>
        <w:rFonts w:hint="default"/>
        <w:lang w:val="ro-RO" w:eastAsia="en-US" w:bidi="ar-SA"/>
      </w:rPr>
    </w:lvl>
    <w:lvl w:ilvl="6" w:tplc="B2BC5DE0">
      <w:numFmt w:val="bullet"/>
      <w:lvlText w:val="•"/>
      <w:lvlJc w:val="left"/>
      <w:pPr>
        <w:ind w:left="6167" w:hanging="360"/>
      </w:pPr>
      <w:rPr>
        <w:rFonts w:hint="default"/>
        <w:lang w:val="ro-RO" w:eastAsia="en-US" w:bidi="ar-SA"/>
      </w:rPr>
    </w:lvl>
    <w:lvl w:ilvl="7" w:tplc="EDBE439A">
      <w:numFmt w:val="bullet"/>
      <w:lvlText w:val="•"/>
      <w:lvlJc w:val="left"/>
      <w:pPr>
        <w:ind w:left="6941" w:hanging="360"/>
      </w:pPr>
      <w:rPr>
        <w:rFonts w:hint="default"/>
        <w:lang w:val="ro-RO" w:eastAsia="en-US" w:bidi="ar-SA"/>
      </w:rPr>
    </w:lvl>
    <w:lvl w:ilvl="8" w:tplc="EFE85256">
      <w:numFmt w:val="bullet"/>
      <w:lvlText w:val="•"/>
      <w:lvlJc w:val="left"/>
      <w:pPr>
        <w:ind w:left="7716" w:hanging="360"/>
      </w:pPr>
      <w:rPr>
        <w:rFonts w:hint="default"/>
        <w:lang w:val="ro-RO" w:eastAsia="en-US" w:bidi="ar-SA"/>
      </w:rPr>
    </w:lvl>
  </w:abstractNum>
  <w:abstractNum w:abstractNumId="28" w15:restartNumberingAfterBreak="0">
    <w:nsid w:val="6F402ABA"/>
    <w:multiLevelType w:val="hybridMultilevel"/>
    <w:tmpl w:val="D4C2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abstractNum w:abstractNumId="30" w15:restartNumberingAfterBreak="0">
    <w:nsid w:val="70B76898"/>
    <w:multiLevelType w:val="hybridMultilevel"/>
    <w:tmpl w:val="D4CAD3FC"/>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773D7B"/>
    <w:multiLevelType w:val="hybridMultilevel"/>
    <w:tmpl w:val="D2E40E26"/>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B442E"/>
    <w:multiLevelType w:val="hybridMultilevel"/>
    <w:tmpl w:val="B9BCD92C"/>
    <w:lvl w:ilvl="0" w:tplc="A412C91A">
      <w:start w:val="1"/>
      <w:numFmt w:val="lowerRoman"/>
      <w:lvlText w:val="(%1)"/>
      <w:lvlJc w:val="left"/>
      <w:pPr>
        <w:ind w:left="72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abstractNum w:abstractNumId="34" w15:restartNumberingAfterBreak="0">
    <w:nsid w:val="7E3F1AB7"/>
    <w:multiLevelType w:val="hybridMultilevel"/>
    <w:tmpl w:val="3BE652CE"/>
    <w:lvl w:ilvl="0" w:tplc="98961B56">
      <w:start w:val="2"/>
      <w:numFmt w:val="decimal"/>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8216012">
    <w:abstractNumId w:val="29"/>
  </w:num>
  <w:num w:numId="2" w16cid:durableId="1078597743">
    <w:abstractNumId w:val="8"/>
  </w:num>
  <w:num w:numId="3" w16cid:durableId="136846761">
    <w:abstractNumId w:val="9"/>
  </w:num>
  <w:num w:numId="4" w16cid:durableId="1438214736">
    <w:abstractNumId w:val="33"/>
  </w:num>
  <w:num w:numId="5" w16cid:durableId="267467809">
    <w:abstractNumId w:val="27"/>
  </w:num>
  <w:num w:numId="6" w16cid:durableId="123886879">
    <w:abstractNumId w:val="22"/>
  </w:num>
  <w:num w:numId="7" w16cid:durableId="796488688">
    <w:abstractNumId w:val="2"/>
  </w:num>
  <w:num w:numId="8" w16cid:durableId="1742367801">
    <w:abstractNumId w:val="23"/>
  </w:num>
  <w:num w:numId="9" w16cid:durableId="202599218">
    <w:abstractNumId w:val="31"/>
  </w:num>
  <w:num w:numId="10" w16cid:durableId="283925592">
    <w:abstractNumId w:val="13"/>
  </w:num>
  <w:num w:numId="11" w16cid:durableId="3121498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5485354">
    <w:abstractNumId w:val="21"/>
  </w:num>
  <w:num w:numId="13" w16cid:durableId="1335500479">
    <w:abstractNumId w:val="11"/>
  </w:num>
  <w:num w:numId="14" w16cid:durableId="1941600000">
    <w:abstractNumId w:val="5"/>
  </w:num>
  <w:num w:numId="15" w16cid:durableId="1737241085">
    <w:abstractNumId w:val="0"/>
  </w:num>
  <w:num w:numId="16" w16cid:durableId="431979336">
    <w:abstractNumId w:val="19"/>
  </w:num>
  <w:num w:numId="17" w16cid:durableId="376586680">
    <w:abstractNumId w:val="28"/>
  </w:num>
  <w:num w:numId="18" w16cid:durableId="561210672">
    <w:abstractNumId w:val="10"/>
  </w:num>
  <w:num w:numId="19" w16cid:durableId="958800708">
    <w:abstractNumId w:val="7"/>
  </w:num>
  <w:num w:numId="20" w16cid:durableId="2105571749">
    <w:abstractNumId w:val="34"/>
  </w:num>
  <w:num w:numId="21" w16cid:durableId="1115834014">
    <w:abstractNumId w:val="26"/>
  </w:num>
  <w:num w:numId="22" w16cid:durableId="237055801">
    <w:abstractNumId w:val="25"/>
  </w:num>
  <w:num w:numId="23" w16cid:durableId="642269662">
    <w:abstractNumId w:val="12"/>
  </w:num>
  <w:num w:numId="24" w16cid:durableId="1192183315">
    <w:abstractNumId w:val="4"/>
  </w:num>
  <w:num w:numId="25" w16cid:durableId="543759766">
    <w:abstractNumId w:val="18"/>
  </w:num>
  <w:num w:numId="26" w16cid:durableId="667751498">
    <w:abstractNumId w:val="3"/>
  </w:num>
  <w:num w:numId="27" w16cid:durableId="750541222">
    <w:abstractNumId w:val="32"/>
  </w:num>
  <w:num w:numId="28" w16cid:durableId="173106390">
    <w:abstractNumId w:val="20"/>
  </w:num>
  <w:num w:numId="29" w16cid:durableId="284388825">
    <w:abstractNumId w:val="1"/>
  </w:num>
  <w:num w:numId="30" w16cid:durableId="2059932608">
    <w:abstractNumId w:val="16"/>
  </w:num>
  <w:num w:numId="31" w16cid:durableId="953444423">
    <w:abstractNumId w:val="14"/>
  </w:num>
  <w:num w:numId="32" w16cid:durableId="1614821578">
    <w:abstractNumId w:val="24"/>
  </w:num>
  <w:num w:numId="33" w16cid:durableId="117456047">
    <w:abstractNumId w:val="17"/>
  </w:num>
  <w:num w:numId="34" w16cid:durableId="1224485872">
    <w:abstractNumId w:val="6"/>
  </w:num>
  <w:num w:numId="35" w16cid:durableId="16646252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83"/>
    <w:rsid w:val="000049EA"/>
    <w:rsid w:val="00006800"/>
    <w:rsid w:val="00020A2F"/>
    <w:rsid w:val="00042F0C"/>
    <w:rsid w:val="0005026A"/>
    <w:rsid w:val="0006401A"/>
    <w:rsid w:val="000640EE"/>
    <w:rsid w:val="00074E9B"/>
    <w:rsid w:val="00092EC7"/>
    <w:rsid w:val="000933EC"/>
    <w:rsid w:val="000949FE"/>
    <w:rsid w:val="000D2FCD"/>
    <w:rsid w:val="000D4637"/>
    <w:rsid w:val="000D5767"/>
    <w:rsid w:val="000D6EA5"/>
    <w:rsid w:val="000E122C"/>
    <w:rsid w:val="000F273F"/>
    <w:rsid w:val="000F7C3F"/>
    <w:rsid w:val="00106053"/>
    <w:rsid w:val="00106BDF"/>
    <w:rsid w:val="001072AA"/>
    <w:rsid w:val="001238F3"/>
    <w:rsid w:val="001276D4"/>
    <w:rsid w:val="00163F38"/>
    <w:rsid w:val="00164262"/>
    <w:rsid w:val="00171D2C"/>
    <w:rsid w:val="00180A78"/>
    <w:rsid w:val="00187C08"/>
    <w:rsid w:val="001B1EB0"/>
    <w:rsid w:val="001C64CE"/>
    <w:rsid w:val="001F1669"/>
    <w:rsid w:val="002011D6"/>
    <w:rsid w:val="00215368"/>
    <w:rsid w:val="002218ED"/>
    <w:rsid w:val="0022203F"/>
    <w:rsid w:val="00247DBE"/>
    <w:rsid w:val="00263FFA"/>
    <w:rsid w:val="00270DAA"/>
    <w:rsid w:val="00286389"/>
    <w:rsid w:val="00293202"/>
    <w:rsid w:val="0029747C"/>
    <w:rsid w:val="002A0F1A"/>
    <w:rsid w:val="002C0334"/>
    <w:rsid w:val="002E2C89"/>
    <w:rsid w:val="002E2F4E"/>
    <w:rsid w:val="0030265F"/>
    <w:rsid w:val="0035646C"/>
    <w:rsid w:val="00356F19"/>
    <w:rsid w:val="00366704"/>
    <w:rsid w:val="003708CC"/>
    <w:rsid w:val="0037218C"/>
    <w:rsid w:val="003764B4"/>
    <w:rsid w:val="00390EDD"/>
    <w:rsid w:val="003A02A1"/>
    <w:rsid w:val="003A0BF9"/>
    <w:rsid w:val="003A3EF6"/>
    <w:rsid w:val="003B0784"/>
    <w:rsid w:val="003C7784"/>
    <w:rsid w:val="003E1073"/>
    <w:rsid w:val="00402D6B"/>
    <w:rsid w:val="00422F4D"/>
    <w:rsid w:val="00436FFA"/>
    <w:rsid w:val="00461591"/>
    <w:rsid w:val="004645F4"/>
    <w:rsid w:val="004A1420"/>
    <w:rsid w:val="004A15A7"/>
    <w:rsid w:val="004D1D9A"/>
    <w:rsid w:val="004D288B"/>
    <w:rsid w:val="004E504F"/>
    <w:rsid w:val="00506F0E"/>
    <w:rsid w:val="00507454"/>
    <w:rsid w:val="005250EB"/>
    <w:rsid w:val="00527501"/>
    <w:rsid w:val="005334BE"/>
    <w:rsid w:val="00542715"/>
    <w:rsid w:val="0055328E"/>
    <w:rsid w:val="00561ABF"/>
    <w:rsid w:val="0057196A"/>
    <w:rsid w:val="00572B1B"/>
    <w:rsid w:val="00574464"/>
    <w:rsid w:val="00591B19"/>
    <w:rsid w:val="005B0ACE"/>
    <w:rsid w:val="005F19DD"/>
    <w:rsid w:val="005F5CBF"/>
    <w:rsid w:val="00613C7B"/>
    <w:rsid w:val="0061598B"/>
    <w:rsid w:val="00620FF4"/>
    <w:rsid w:val="00621823"/>
    <w:rsid w:val="00640842"/>
    <w:rsid w:val="006470A1"/>
    <w:rsid w:val="006665A7"/>
    <w:rsid w:val="00690A16"/>
    <w:rsid w:val="006923C1"/>
    <w:rsid w:val="00693405"/>
    <w:rsid w:val="006A1969"/>
    <w:rsid w:val="006B73BA"/>
    <w:rsid w:val="006F0129"/>
    <w:rsid w:val="007330C9"/>
    <w:rsid w:val="007500B6"/>
    <w:rsid w:val="00760DB8"/>
    <w:rsid w:val="007A0B03"/>
    <w:rsid w:val="007B0065"/>
    <w:rsid w:val="007B2907"/>
    <w:rsid w:val="007C6370"/>
    <w:rsid w:val="007D46EC"/>
    <w:rsid w:val="007D49D4"/>
    <w:rsid w:val="007E19A2"/>
    <w:rsid w:val="007E268C"/>
    <w:rsid w:val="007F2CB8"/>
    <w:rsid w:val="00802165"/>
    <w:rsid w:val="008413E1"/>
    <w:rsid w:val="00841EFD"/>
    <w:rsid w:val="00844FD8"/>
    <w:rsid w:val="008519DB"/>
    <w:rsid w:val="00852897"/>
    <w:rsid w:val="00864154"/>
    <w:rsid w:val="00877DED"/>
    <w:rsid w:val="00884F2F"/>
    <w:rsid w:val="00890C49"/>
    <w:rsid w:val="00892C2F"/>
    <w:rsid w:val="00894BCD"/>
    <w:rsid w:val="00897D44"/>
    <w:rsid w:val="008B0EE4"/>
    <w:rsid w:val="008B17E4"/>
    <w:rsid w:val="008B2198"/>
    <w:rsid w:val="008B2B31"/>
    <w:rsid w:val="008B5C48"/>
    <w:rsid w:val="008E1893"/>
    <w:rsid w:val="008E5FE8"/>
    <w:rsid w:val="008F0865"/>
    <w:rsid w:val="008F1EB2"/>
    <w:rsid w:val="008F2ED3"/>
    <w:rsid w:val="008F733C"/>
    <w:rsid w:val="00901408"/>
    <w:rsid w:val="009111EC"/>
    <w:rsid w:val="00912F1A"/>
    <w:rsid w:val="0093776D"/>
    <w:rsid w:val="00951E7D"/>
    <w:rsid w:val="00957DFA"/>
    <w:rsid w:val="00957FF1"/>
    <w:rsid w:val="00963648"/>
    <w:rsid w:val="0097006F"/>
    <w:rsid w:val="00977F21"/>
    <w:rsid w:val="00996821"/>
    <w:rsid w:val="00997E1D"/>
    <w:rsid w:val="009D1F0C"/>
    <w:rsid w:val="009D7DD2"/>
    <w:rsid w:val="009F6F5A"/>
    <w:rsid w:val="00A01635"/>
    <w:rsid w:val="00A0345B"/>
    <w:rsid w:val="00A04A83"/>
    <w:rsid w:val="00A137BC"/>
    <w:rsid w:val="00A277DE"/>
    <w:rsid w:val="00A478EC"/>
    <w:rsid w:val="00A52B95"/>
    <w:rsid w:val="00A57839"/>
    <w:rsid w:val="00A64658"/>
    <w:rsid w:val="00A72622"/>
    <w:rsid w:val="00A80CA6"/>
    <w:rsid w:val="00A8573D"/>
    <w:rsid w:val="00AB3CAF"/>
    <w:rsid w:val="00AD6047"/>
    <w:rsid w:val="00AF1CB6"/>
    <w:rsid w:val="00AF2451"/>
    <w:rsid w:val="00B046AB"/>
    <w:rsid w:val="00B105FF"/>
    <w:rsid w:val="00B157E0"/>
    <w:rsid w:val="00B72025"/>
    <w:rsid w:val="00B7653C"/>
    <w:rsid w:val="00B76C30"/>
    <w:rsid w:val="00B80B62"/>
    <w:rsid w:val="00B82F70"/>
    <w:rsid w:val="00B848C3"/>
    <w:rsid w:val="00B87109"/>
    <w:rsid w:val="00B97AF6"/>
    <w:rsid w:val="00BA7669"/>
    <w:rsid w:val="00BB42B5"/>
    <w:rsid w:val="00BC1A01"/>
    <w:rsid w:val="00C05C32"/>
    <w:rsid w:val="00C218FC"/>
    <w:rsid w:val="00C22A83"/>
    <w:rsid w:val="00C24971"/>
    <w:rsid w:val="00C3029D"/>
    <w:rsid w:val="00C37953"/>
    <w:rsid w:val="00C46382"/>
    <w:rsid w:val="00C4702C"/>
    <w:rsid w:val="00C50640"/>
    <w:rsid w:val="00C50A26"/>
    <w:rsid w:val="00C54D8E"/>
    <w:rsid w:val="00C70464"/>
    <w:rsid w:val="00C8734E"/>
    <w:rsid w:val="00CE2EDB"/>
    <w:rsid w:val="00D06A11"/>
    <w:rsid w:val="00D07C22"/>
    <w:rsid w:val="00D1586C"/>
    <w:rsid w:val="00D232F2"/>
    <w:rsid w:val="00D56ECF"/>
    <w:rsid w:val="00D60CE7"/>
    <w:rsid w:val="00D623D8"/>
    <w:rsid w:val="00D71C73"/>
    <w:rsid w:val="00D80538"/>
    <w:rsid w:val="00D93447"/>
    <w:rsid w:val="00DB20FB"/>
    <w:rsid w:val="00DB44A1"/>
    <w:rsid w:val="00DB5D6F"/>
    <w:rsid w:val="00DE2613"/>
    <w:rsid w:val="00DE7940"/>
    <w:rsid w:val="00DF6072"/>
    <w:rsid w:val="00E14105"/>
    <w:rsid w:val="00E3392A"/>
    <w:rsid w:val="00E348DD"/>
    <w:rsid w:val="00E65DF3"/>
    <w:rsid w:val="00E84B52"/>
    <w:rsid w:val="00EF0871"/>
    <w:rsid w:val="00EF22B5"/>
    <w:rsid w:val="00F033FF"/>
    <w:rsid w:val="00F15B72"/>
    <w:rsid w:val="00F27542"/>
    <w:rsid w:val="00F52EA8"/>
    <w:rsid w:val="00F57F17"/>
    <w:rsid w:val="00F610C8"/>
    <w:rsid w:val="00F74E6B"/>
    <w:rsid w:val="00F76980"/>
    <w:rsid w:val="00F81868"/>
    <w:rsid w:val="00FA2D06"/>
    <w:rsid w:val="00FB03C3"/>
    <w:rsid w:val="00FB0A83"/>
    <w:rsid w:val="00FB179D"/>
    <w:rsid w:val="00FE219E"/>
    <w:rsid w:val="00FE6838"/>
    <w:rsid w:val="00FF0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6BFA4"/>
  <w15:docId w15:val="{A067EB2D-9EE6-49AB-8568-A4974BCE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564" w:right="1600"/>
      <w:jc w:val="center"/>
      <w:outlineLvl w:val="0"/>
    </w:pPr>
    <w:rPr>
      <w:b/>
      <w:bCs/>
      <w:sz w:val="20"/>
      <w:szCs w:val="20"/>
    </w:rPr>
  </w:style>
  <w:style w:type="paragraph" w:styleId="Heading2">
    <w:name w:val="heading 2"/>
    <w:basedOn w:val="Normal"/>
    <w:uiPriority w:val="9"/>
    <w:unhideWhenUsed/>
    <w:qFormat/>
    <w:pPr>
      <w:ind w:left="641" w:hanging="541"/>
      <w:outlineLvl w:val="1"/>
    </w:pPr>
    <w:rPr>
      <w:b/>
      <w:bCs/>
      <w:sz w:val="20"/>
      <w:szCs w:val="20"/>
    </w:rPr>
  </w:style>
  <w:style w:type="paragraph" w:styleId="Heading3">
    <w:name w:val="heading 3"/>
    <w:basedOn w:val="Normal"/>
    <w:next w:val="Normal"/>
    <w:link w:val="Heading3Char"/>
    <w:uiPriority w:val="9"/>
    <w:semiHidden/>
    <w:unhideWhenUsed/>
    <w:qFormat/>
    <w:rsid w:val="000640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640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40E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640E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562" w:right="1600"/>
      <w:jc w:val="center"/>
    </w:pPr>
    <w:rPr>
      <w:rFonts w:ascii="Corbel" w:eastAsia="Corbel" w:hAnsi="Corbel" w:cs="Corbel"/>
      <w:b/>
      <w:bCs/>
      <w:sz w:val="44"/>
      <w:szCs w:val="44"/>
    </w:rPr>
  </w:style>
  <w:style w:type="paragraph" w:styleId="ListParagraph">
    <w:name w:val="List Paragraph"/>
    <w:basedOn w:val="Normal"/>
    <w:uiPriority w:val="34"/>
    <w:qFormat/>
    <w:pPr>
      <w:ind w:left="666" w:hanging="566"/>
      <w:jc w:val="both"/>
    </w:pPr>
  </w:style>
  <w:style w:type="paragraph" w:customStyle="1" w:styleId="TableParagraph">
    <w:name w:val="Table Paragraph"/>
    <w:basedOn w:val="Normal"/>
    <w:uiPriority w:val="1"/>
    <w:qFormat/>
    <w:pPr>
      <w:spacing w:line="244" w:lineRule="exact"/>
    </w:pPr>
  </w:style>
  <w:style w:type="table" w:customStyle="1" w:styleId="TableGrid2">
    <w:name w:val="Table Grid2"/>
    <w:basedOn w:val="TableNormal"/>
    <w:next w:val="TableGrid"/>
    <w:uiPriority w:val="39"/>
    <w:rsid w:val="008F733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7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68C"/>
    <w:rPr>
      <w:color w:val="808080"/>
    </w:rPr>
  </w:style>
  <w:style w:type="paragraph" w:styleId="Header">
    <w:name w:val="header"/>
    <w:basedOn w:val="Normal"/>
    <w:link w:val="HeaderChar"/>
    <w:uiPriority w:val="99"/>
    <w:unhideWhenUsed/>
    <w:rsid w:val="005B0ACE"/>
    <w:pPr>
      <w:tabs>
        <w:tab w:val="center" w:pos="4680"/>
        <w:tab w:val="right" w:pos="9360"/>
      </w:tabs>
    </w:pPr>
  </w:style>
  <w:style w:type="character" w:customStyle="1" w:styleId="HeaderChar">
    <w:name w:val="Header Char"/>
    <w:basedOn w:val="DefaultParagraphFont"/>
    <w:link w:val="Header"/>
    <w:uiPriority w:val="99"/>
    <w:rsid w:val="005B0ACE"/>
    <w:rPr>
      <w:rFonts w:ascii="Calibri" w:eastAsia="Calibri" w:hAnsi="Calibri" w:cs="Calibri"/>
      <w:lang w:val="ro-RO"/>
    </w:rPr>
  </w:style>
  <w:style w:type="paragraph" w:styleId="Footer">
    <w:name w:val="footer"/>
    <w:basedOn w:val="Normal"/>
    <w:link w:val="FooterChar"/>
    <w:uiPriority w:val="99"/>
    <w:unhideWhenUsed/>
    <w:rsid w:val="005B0ACE"/>
    <w:pPr>
      <w:tabs>
        <w:tab w:val="center" w:pos="4680"/>
        <w:tab w:val="right" w:pos="9360"/>
      </w:tabs>
    </w:pPr>
  </w:style>
  <w:style w:type="character" w:customStyle="1" w:styleId="FooterChar">
    <w:name w:val="Footer Char"/>
    <w:basedOn w:val="DefaultParagraphFont"/>
    <w:link w:val="Footer"/>
    <w:uiPriority w:val="99"/>
    <w:rsid w:val="005B0ACE"/>
    <w:rPr>
      <w:rFonts w:ascii="Calibri" w:eastAsia="Calibri" w:hAnsi="Calibri" w:cs="Calibri"/>
      <w:lang w:val="ro-RO"/>
    </w:rPr>
  </w:style>
  <w:style w:type="paragraph" w:styleId="Revision">
    <w:name w:val="Revision"/>
    <w:hidden/>
    <w:uiPriority w:val="99"/>
    <w:semiHidden/>
    <w:rsid w:val="00402D6B"/>
    <w:pPr>
      <w:widowControl/>
      <w:autoSpaceDE/>
      <w:autoSpaceDN/>
      <w:spacing w:after="0" w:line="240" w:lineRule="auto"/>
    </w:pPr>
    <w:rPr>
      <w:rFonts w:ascii="Calibri" w:eastAsia="Calibri" w:hAnsi="Calibri" w:cs="Calibri"/>
      <w:lang w:val="ro-RO"/>
    </w:rPr>
  </w:style>
  <w:style w:type="character" w:styleId="CommentReference">
    <w:name w:val="annotation reference"/>
    <w:basedOn w:val="DefaultParagraphFont"/>
    <w:uiPriority w:val="99"/>
    <w:semiHidden/>
    <w:unhideWhenUsed/>
    <w:rsid w:val="00C50640"/>
    <w:rPr>
      <w:sz w:val="16"/>
      <w:szCs w:val="16"/>
    </w:rPr>
  </w:style>
  <w:style w:type="paragraph" w:styleId="CommentText">
    <w:name w:val="annotation text"/>
    <w:basedOn w:val="Normal"/>
    <w:link w:val="CommentTextChar"/>
    <w:uiPriority w:val="99"/>
    <w:unhideWhenUsed/>
    <w:rsid w:val="00C50640"/>
    <w:pPr>
      <w:spacing w:line="240" w:lineRule="auto"/>
    </w:pPr>
    <w:rPr>
      <w:sz w:val="20"/>
      <w:szCs w:val="20"/>
    </w:rPr>
  </w:style>
  <w:style w:type="character" w:customStyle="1" w:styleId="CommentTextChar">
    <w:name w:val="Comment Text Char"/>
    <w:basedOn w:val="DefaultParagraphFont"/>
    <w:link w:val="CommentText"/>
    <w:uiPriority w:val="99"/>
    <w:rsid w:val="00C50640"/>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C50640"/>
    <w:rPr>
      <w:b/>
      <w:bCs/>
    </w:rPr>
  </w:style>
  <w:style w:type="character" w:customStyle="1" w:styleId="CommentSubjectChar">
    <w:name w:val="Comment Subject Char"/>
    <w:basedOn w:val="CommentTextChar"/>
    <w:link w:val="CommentSubject"/>
    <w:uiPriority w:val="99"/>
    <w:semiHidden/>
    <w:rsid w:val="00C50640"/>
    <w:rPr>
      <w:rFonts w:ascii="Calibri" w:eastAsia="Calibri" w:hAnsi="Calibri" w:cs="Calibri"/>
      <w:b/>
      <w:bCs/>
      <w:sz w:val="20"/>
      <w:szCs w:val="20"/>
      <w:lang w:val="ro-RO"/>
    </w:rPr>
  </w:style>
  <w:style w:type="paragraph" w:styleId="BalloonText">
    <w:name w:val="Balloon Text"/>
    <w:basedOn w:val="Normal"/>
    <w:link w:val="BalloonTextChar"/>
    <w:uiPriority w:val="99"/>
    <w:semiHidden/>
    <w:unhideWhenUsed/>
    <w:rsid w:val="00F8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68"/>
    <w:rPr>
      <w:rFonts w:ascii="Segoe UI" w:eastAsia="Calibri" w:hAnsi="Segoe UI" w:cs="Segoe UI"/>
      <w:sz w:val="18"/>
      <w:szCs w:val="18"/>
      <w:lang w:val="ro-RO"/>
    </w:rPr>
  </w:style>
  <w:style w:type="character" w:styleId="Hyperlink">
    <w:name w:val="Hyperlink"/>
    <w:basedOn w:val="DefaultParagraphFont"/>
    <w:uiPriority w:val="99"/>
    <w:unhideWhenUsed/>
    <w:rsid w:val="003764B4"/>
    <w:rPr>
      <w:color w:val="0000FF" w:themeColor="hyperlink"/>
      <w:u w:val="single"/>
    </w:rPr>
  </w:style>
  <w:style w:type="character" w:styleId="UnresolvedMention">
    <w:name w:val="Unresolved Mention"/>
    <w:basedOn w:val="DefaultParagraphFont"/>
    <w:uiPriority w:val="99"/>
    <w:semiHidden/>
    <w:unhideWhenUsed/>
    <w:rsid w:val="003764B4"/>
    <w:rPr>
      <w:color w:val="605E5C"/>
      <w:shd w:val="clear" w:color="auto" w:fill="E1DFDD"/>
    </w:rPr>
  </w:style>
  <w:style w:type="paragraph" w:customStyle="1" w:styleId="TITLE1">
    <w:name w:val="TITLE 1"/>
    <w:basedOn w:val="Heading1"/>
    <w:qFormat/>
    <w:rsid w:val="000640EE"/>
    <w:pPr>
      <w:keepNext/>
      <w:widowControl/>
      <w:numPr>
        <w:numId w:val="29"/>
      </w:numPr>
      <w:autoSpaceDE/>
      <w:autoSpaceDN/>
      <w:spacing w:after="140" w:line="280" w:lineRule="exact"/>
      <w:ind w:left="504" w:right="0"/>
      <w:jc w:val="both"/>
    </w:pPr>
    <w:rPr>
      <w:rFonts w:ascii="Georgia" w:eastAsia="Times New Roman" w:hAnsi="Georgia" w:cs="Times New Roman"/>
      <w:b w:val="0"/>
      <w:caps/>
      <w:color w:val="590056"/>
      <w:kern w:val="32"/>
      <w:sz w:val="24"/>
      <w:szCs w:val="32"/>
      <w:lang w:val="x-none" w:eastAsia="x-none"/>
    </w:rPr>
  </w:style>
  <w:style w:type="paragraph" w:customStyle="1" w:styleId="Level1">
    <w:name w:val="Level 1"/>
    <w:basedOn w:val="Heading2"/>
    <w:uiPriority w:val="3"/>
    <w:qFormat/>
    <w:rsid w:val="000640EE"/>
    <w:pPr>
      <w:widowControl/>
      <w:numPr>
        <w:ilvl w:val="1"/>
        <w:numId w:val="29"/>
      </w:numPr>
      <w:autoSpaceDE/>
      <w:autoSpaceDN/>
      <w:spacing w:after="140" w:line="280" w:lineRule="exact"/>
      <w:jc w:val="both"/>
    </w:pPr>
    <w:rPr>
      <w:rFonts w:ascii="Georgia" w:eastAsia="Times New Roman" w:hAnsi="Georgia" w:cs="Times New Roman"/>
      <w:iCs/>
      <w:szCs w:val="28"/>
      <w:lang w:val="x-none" w:eastAsia="x-none"/>
    </w:rPr>
  </w:style>
  <w:style w:type="paragraph" w:customStyle="1" w:styleId="Level2">
    <w:name w:val="Level 2"/>
    <w:basedOn w:val="Heading3"/>
    <w:uiPriority w:val="3"/>
    <w:qFormat/>
    <w:rsid w:val="000640EE"/>
    <w:pPr>
      <w:keepNext w:val="0"/>
      <w:keepLines w:val="0"/>
      <w:widowControl/>
      <w:numPr>
        <w:ilvl w:val="2"/>
        <w:numId w:val="29"/>
      </w:numPr>
      <w:autoSpaceDE/>
      <w:autoSpaceDN/>
      <w:spacing w:before="0" w:after="140" w:line="280" w:lineRule="exact"/>
      <w:ind w:left="504" w:hanging="180"/>
      <w:jc w:val="both"/>
    </w:pPr>
    <w:rPr>
      <w:rFonts w:ascii="Georgia" w:eastAsia="Times New Roman" w:hAnsi="Georgia" w:cs="Times New Roman"/>
      <w:bCs/>
      <w:i/>
      <w:color w:val="auto"/>
      <w:sz w:val="20"/>
      <w:szCs w:val="26"/>
      <w:lang w:val="x-none" w:eastAsia="x-none"/>
    </w:rPr>
  </w:style>
  <w:style w:type="paragraph" w:customStyle="1" w:styleId="Level3">
    <w:name w:val="Level 3"/>
    <w:basedOn w:val="Heading4"/>
    <w:link w:val="Level3Char"/>
    <w:uiPriority w:val="3"/>
    <w:qFormat/>
    <w:rsid w:val="000640EE"/>
    <w:pPr>
      <w:keepNext w:val="0"/>
      <w:keepLines w:val="0"/>
      <w:widowControl/>
      <w:numPr>
        <w:ilvl w:val="3"/>
        <w:numId w:val="29"/>
      </w:numPr>
      <w:autoSpaceDE/>
      <w:autoSpaceDN/>
      <w:spacing w:before="0" w:after="140" w:line="280" w:lineRule="exact"/>
      <w:jc w:val="both"/>
    </w:pPr>
    <w:rPr>
      <w:rFonts w:ascii="Georgia" w:eastAsia="Times New Roman" w:hAnsi="Georgia" w:cs="Times New Roman"/>
      <w:bCs/>
      <w:i w:val="0"/>
      <w:iCs w:val="0"/>
      <w:color w:val="auto"/>
      <w:sz w:val="20"/>
      <w:szCs w:val="28"/>
      <w:lang w:val="x-none" w:eastAsia="x-none"/>
    </w:rPr>
  </w:style>
  <w:style w:type="paragraph" w:customStyle="1" w:styleId="Level5">
    <w:name w:val="Level 5"/>
    <w:basedOn w:val="Heading6"/>
    <w:uiPriority w:val="3"/>
    <w:qFormat/>
    <w:rsid w:val="000640EE"/>
    <w:pPr>
      <w:keepNext w:val="0"/>
      <w:keepLines w:val="0"/>
      <w:widowControl/>
      <w:numPr>
        <w:ilvl w:val="5"/>
        <w:numId w:val="29"/>
      </w:numPr>
      <w:tabs>
        <w:tab w:val="clear" w:pos="2240"/>
      </w:tabs>
      <w:autoSpaceDE/>
      <w:autoSpaceDN/>
      <w:spacing w:before="0" w:after="140" w:line="280" w:lineRule="exact"/>
      <w:ind w:left="5400" w:hanging="180"/>
      <w:jc w:val="both"/>
    </w:pPr>
    <w:rPr>
      <w:rFonts w:ascii="Georgia" w:eastAsia="Times New Roman" w:hAnsi="Georgia" w:cs="Times New Roman"/>
      <w:bCs/>
      <w:color w:val="auto"/>
      <w:sz w:val="20"/>
      <w:lang w:val="en-US"/>
    </w:rPr>
  </w:style>
  <w:style w:type="paragraph" w:customStyle="1" w:styleId="Level4">
    <w:name w:val="Level 4"/>
    <w:basedOn w:val="Heading5"/>
    <w:uiPriority w:val="3"/>
    <w:qFormat/>
    <w:rsid w:val="000640EE"/>
    <w:pPr>
      <w:keepNext w:val="0"/>
      <w:keepLines w:val="0"/>
      <w:widowControl/>
      <w:numPr>
        <w:ilvl w:val="4"/>
        <w:numId w:val="29"/>
      </w:numPr>
      <w:tabs>
        <w:tab w:val="clear" w:pos="1680"/>
      </w:tabs>
      <w:autoSpaceDE/>
      <w:autoSpaceDN/>
      <w:spacing w:before="0" w:after="140" w:line="280" w:lineRule="exact"/>
      <w:ind w:left="4680" w:hanging="360"/>
      <w:jc w:val="both"/>
    </w:pPr>
    <w:rPr>
      <w:rFonts w:ascii="Georgia" w:eastAsia="Times New Roman" w:hAnsi="Georgia" w:cs="Times New Roman"/>
      <w:bCs/>
      <w:iCs/>
      <w:color w:val="auto"/>
      <w:sz w:val="20"/>
      <w:szCs w:val="26"/>
      <w:lang w:val="x-none" w:eastAsia="x-none"/>
    </w:rPr>
  </w:style>
  <w:style w:type="character" w:customStyle="1" w:styleId="Level3Char">
    <w:name w:val="Level 3 Char"/>
    <w:link w:val="Level3"/>
    <w:uiPriority w:val="3"/>
    <w:rsid w:val="000640EE"/>
    <w:rPr>
      <w:rFonts w:ascii="Georgia" w:eastAsia="Times New Roman" w:hAnsi="Georgia" w:cs="Times New Roman"/>
      <w:bCs/>
      <w:sz w:val="20"/>
      <w:szCs w:val="28"/>
      <w:lang w:val="x-none" w:eastAsia="x-none"/>
    </w:rPr>
  </w:style>
  <w:style w:type="character" w:customStyle="1" w:styleId="Heading3Char">
    <w:name w:val="Heading 3 Char"/>
    <w:basedOn w:val="DefaultParagraphFont"/>
    <w:link w:val="Heading3"/>
    <w:uiPriority w:val="9"/>
    <w:semiHidden/>
    <w:rsid w:val="000640EE"/>
    <w:rPr>
      <w:rFonts w:asciiTheme="majorHAnsi" w:eastAsiaTheme="majorEastAsia" w:hAnsiTheme="majorHAnsi" w:cstheme="majorBidi"/>
      <w:color w:val="243F60" w:themeColor="accent1" w:themeShade="7F"/>
      <w:sz w:val="24"/>
      <w:szCs w:val="24"/>
      <w:lang w:val="ro-RO"/>
    </w:rPr>
  </w:style>
  <w:style w:type="character" w:customStyle="1" w:styleId="Heading4Char">
    <w:name w:val="Heading 4 Char"/>
    <w:basedOn w:val="DefaultParagraphFont"/>
    <w:link w:val="Heading4"/>
    <w:uiPriority w:val="9"/>
    <w:semiHidden/>
    <w:rsid w:val="000640EE"/>
    <w:rPr>
      <w:rFonts w:asciiTheme="majorHAnsi" w:eastAsiaTheme="majorEastAsia" w:hAnsiTheme="majorHAnsi" w:cstheme="majorBidi"/>
      <w:i/>
      <w:iCs/>
      <w:color w:val="365F91" w:themeColor="accent1" w:themeShade="BF"/>
      <w:lang w:val="ro-RO"/>
    </w:rPr>
  </w:style>
  <w:style w:type="character" w:customStyle="1" w:styleId="Heading6Char">
    <w:name w:val="Heading 6 Char"/>
    <w:basedOn w:val="DefaultParagraphFont"/>
    <w:link w:val="Heading6"/>
    <w:uiPriority w:val="9"/>
    <w:semiHidden/>
    <w:rsid w:val="000640EE"/>
    <w:rPr>
      <w:rFonts w:asciiTheme="majorHAnsi" w:eastAsiaTheme="majorEastAsia" w:hAnsiTheme="majorHAnsi" w:cstheme="majorBidi"/>
      <w:color w:val="243F60" w:themeColor="accent1" w:themeShade="7F"/>
      <w:lang w:val="ro-RO"/>
    </w:rPr>
  </w:style>
  <w:style w:type="character" w:customStyle="1" w:styleId="Heading5Char">
    <w:name w:val="Heading 5 Char"/>
    <w:basedOn w:val="DefaultParagraphFont"/>
    <w:link w:val="Heading5"/>
    <w:uiPriority w:val="9"/>
    <w:semiHidden/>
    <w:rsid w:val="000640EE"/>
    <w:rPr>
      <w:rFonts w:asciiTheme="majorHAnsi" w:eastAsiaTheme="majorEastAsia" w:hAnsiTheme="majorHAnsi" w:cstheme="majorBidi"/>
      <w:color w:val="365F91" w:themeColor="accent1" w:themeShade="B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2162">
      <w:bodyDiv w:val="1"/>
      <w:marLeft w:val="0"/>
      <w:marRight w:val="0"/>
      <w:marTop w:val="0"/>
      <w:marBottom w:val="0"/>
      <w:divBdr>
        <w:top w:val="none" w:sz="0" w:space="0" w:color="auto"/>
        <w:left w:val="none" w:sz="0" w:space="0" w:color="auto"/>
        <w:bottom w:val="none" w:sz="0" w:space="0" w:color="auto"/>
        <w:right w:val="none" w:sz="0" w:space="0" w:color="auto"/>
      </w:divBdr>
    </w:div>
    <w:div w:id="192695052">
      <w:bodyDiv w:val="1"/>
      <w:marLeft w:val="0"/>
      <w:marRight w:val="0"/>
      <w:marTop w:val="0"/>
      <w:marBottom w:val="0"/>
      <w:divBdr>
        <w:top w:val="none" w:sz="0" w:space="0" w:color="auto"/>
        <w:left w:val="none" w:sz="0" w:space="0" w:color="auto"/>
        <w:bottom w:val="none" w:sz="0" w:space="0" w:color="auto"/>
        <w:right w:val="none" w:sz="0" w:space="0" w:color="auto"/>
      </w:divBdr>
    </w:div>
    <w:div w:id="114373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holde.eu/" TargetMode="External"/><Relationship Id="rId2" Type="http://schemas.openxmlformats.org/officeDocument/2006/relationships/hyperlink" Target="mailto:contact@holde.eu" TargetMode="External"/><Relationship Id="rId1" Type="http://schemas.openxmlformats.org/officeDocument/2006/relationships/hyperlink" Target="http://www.holde.eu/" TargetMode="External"/><Relationship Id="rId4" Type="http://schemas.openxmlformats.org/officeDocument/2006/relationships/hyperlink" Target="mailto:contact@hold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F413-3768-478C-963D-F56FEE91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2730</Words>
  <Characters>15567</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Revai</dc:creator>
  <cp:lastModifiedBy>Filip &amp; Company</cp:lastModifiedBy>
  <cp:revision>57</cp:revision>
  <dcterms:created xsi:type="dcterms:W3CDTF">2022-10-20T14:25:00Z</dcterms:created>
  <dcterms:modified xsi:type="dcterms:W3CDTF">2022-11-11T14:11:00Z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vt:lpwstr>
  </property>
  <property fmtid="{D5CDD505-2E9C-101B-9397-08002B2CF9AE}" pid="4" name="LastSaved">
    <vt:filetime>2022-09-07T00:00:00Z</vt:filetime>
  </property>
</Properties>
</file>