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79EB7" w14:textId="77777777" w:rsidR="00612DB2" w:rsidRDefault="00612DB2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F5372" w:rsidRPr="00A3755E" w14:paraId="227E3CF3" w14:textId="77777777" w:rsidTr="000867D8">
        <w:tc>
          <w:tcPr>
            <w:tcW w:w="4508" w:type="dxa"/>
          </w:tcPr>
          <w:p w14:paraId="049D00DF" w14:textId="4804DB5F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Note </w:t>
            </w:r>
            <w:r w:rsidR="00F96016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justificative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cu privire la punctele de pe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ordinea de zi a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F2784B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Adunării Generale </w:t>
            </w:r>
            <w:r w:rsidR="00175ECF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O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rdinare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a Acționarilor 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din data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2</w:t>
            </w:r>
            <w:r w:rsidR="00103DD4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4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/2</w:t>
            </w:r>
            <w:r w:rsidR="00103DD4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5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03DD4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noiembrie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202</w:t>
            </w:r>
            <w:r w:rsidR="00103DD4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1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16371CFE" w14:textId="05EAB82E" w:rsidR="004F5372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3050AA4C" w14:textId="77777777" w:rsidR="00612DB2" w:rsidRPr="00A3755E" w:rsidRDefault="00612DB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657F2D7C" w14:textId="0B840CDD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b/>
                <w:sz w:val="20"/>
                <w:szCs w:val="20"/>
                <w:lang w:val="ro-RO"/>
              </w:rPr>
              <w:t>HOLDE AGRI INVEST S.A.</w:t>
            </w:r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, o societate pe acțiuni, organizată și care funcționează conform legilor din România, având sediul social în </w:t>
            </w:r>
            <w:proofErr w:type="spellStart"/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>Bucureşti</w:t>
            </w:r>
            <w:proofErr w:type="spellEnd"/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175ECF" w:rsidRPr="00A3755E">
              <w:rPr>
                <w:rFonts w:cstheme="minorHAnsi"/>
                <w:bCs/>
                <w:sz w:val="20"/>
                <w:szCs w:val="20"/>
                <w:lang w:val="ro-RO"/>
              </w:rPr>
              <w:t>Intr</w:t>
            </w:r>
            <w:proofErr w:type="spellEnd"/>
            <w:r w:rsidR="00175ECF"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175ECF" w:rsidRPr="00A3755E">
              <w:rPr>
                <w:rFonts w:cstheme="minorHAnsi"/>
                <w:bCs/>
                <w:sz w:val="20"/>
                <w:szCs w:val="20"/>
                <w:lang w:val="ro-RO"/>
              </w:rPr>
              <w:t>N</w:t>
            </w:r>
            <w:r w:rsidR="007B4B95" w:rsidRPr="00A3755E">
              <w:rPr>
                <w:rFonts w:cstheme="minorHAnsi"/>
                <w:bCs/>
                <w:sz w:val="20"/>
                <w:szCs w:val="20"/>
                <w:lang w:val="ro-RO"/>
              </w:rPr>
              <w:t>e</w:t>
            </w:r>
            <w:r w:rsidR="00103DD4" w:rsidRPr="00A3755E">
              <w:rPr>
                <w:rFonts w:cstheme="minorHAnsi"/>
                <w:bCs/>
                <w:sz w:val="20"/>
                <w:szCs w:val="20"/>
                <w:lang w:val="ro-RO"/>
              </w:rPr>
              <w:t>storei</w:t>
            </w:r>
            <w:proofErr w:type="spellEnd"/>
            <w:r w:rsidR="00103DD4"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 nr. 1, Corp B, Etaj 10, Sector 4</w:t>
            </w:r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, înregistrată la Registrul Comerțului sub nr. J40/9208/2018, Identificator Unic la Nivel European (EUID): ROONRC. J40/9208/2018, având cod unic de înregistrare 39549730, având capital social subscris și vărsat în cuantum de </w:t>
            </w:r>
            <w:r w:rsidR="00103DD4"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64.069.796 </w:t>
            </w:r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lei, divizat în </w:t>
            </w:r>
            <w:r w:rsidR="00103DD4"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64.069.796 </w:t>
            </w:r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 xml:space="preserve">acțiuni nominative, din care </w:t>
            </w:r>
            <w:r w:rsidR="00103DD4" w:rsidRPr="00A3755E">
              <w:rPr>
                <w:rFonts w:cstheme="minorHAnsi"/>
                <w:bCs/>
                <w:sz w:val="20"/>
                <w:szCs w:val="20"/>
                <w:lang w:val="ro-RO"/>
              </w:rPr>
              <w:t>58.242.621</w:t>
            </w:r>
            <w:r w:rsidR="00103DD4" w:rsidRPr="00A3755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>acțiuni ordinare și 5.827.175 acțiuni preferențiale cu dividend preferențial fără drept de vot („</w:t>
            </w:r>
            <w:r w:rsidRPr="00A3755E">
              <w:rPr>
                <w:rFonts w:cstheme="minorHAnsi"/>
                <w:b/>
                <w:sz w:val="20"/>
                <w:szCs w:val="20"/>
                <w:lang w:val="ro-RO"/>
              </w:rPr>
              <w:t>Societatea</w:t>
            </w:r>
            <w:r w:rsidRPr="00A3755E">
              <w:rPr>
                <w:rFonts w:cstheme="minorHAnsi"/>
                <w:bCs/>
                <w:sz w:val="20"/>
                <w:szCs w:val="20"/>
                <w:lang w:val="ro-RO"/>
              </w:rPr>
              <w:t>”),</w:t>
            </w:r>
          </w:p>
          <w:p w14:paraId="5B00DF7D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4B8A9866" w14:textId="6BEE5972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>Avâ</w:t>
            </w:r>
            <w:r w:rsidR="00F2784B" w:rsidRPr="00A3755E">
              <w:rPr>
                <w:rFonts w:cstheme="minorHAnsi"/>
                <w:sz w:val="20"/>
                <w:szCs w:val="20"/>
                <w:lang w:val="ro-RO"/>
              </w:rPr>
              <w:t xml:space="preserve">nd în vedere Adunarea Generală </w:t>
            </w:r>
            <w:r w:rsidR="005D11FE" w:rsidRPr="00A3755E">
              <w:rPr>
                <w:rFonts w:cstheme="minorHAnsi"/>
                <w:sz w:val="20"/>
                <w:szCs w:val="20"/>
                <w:lang w:val="ro-RO"/>
              </w:rPr>
              <w:t>O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>rdinară a Acționarilor („</w:t>
            </w:r>
            <w:r w:rsidR="00F2784B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AG</w:t>
            </w:r>
            <w:r w:rsidR="005D11FE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O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A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>”) Societății convocată pentru data de 2</w:t>
            </w:r>
            <w:r w:rsidR="00103DD4" w:rsidRPr="00A3755E">
              <w:rPr>
                <w:rFonts w:cstheme="minorHAnsi"/>
                <w:sz w:val="20"/>
                <w:szCs w:val="20"/>
                <w:lang w:val="ro-RO"/>
              </w:rPr>
              <w:t>4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>/2</w:t>
            </w:r>
            <w:r w:rsidR="00103DD4" w:rsidRPr="00A3755E">
              <w:rPr>
                <w:rFonts w:cstheme="minorHAnsi"/>
                <w:sz w:val="20"/>
                <w:szCs w:val="20"/>
                <w:lang w:val="ro-RO"/>
              </w:rPr>
              <w:t>5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103DD4" w:rsidRPr="00A3755E">
              <w:rPr>
                <w:rFonts w:cstheme="minorHAnsi"/>
                <w:sz w:val="20"/>
                <w:szCs w:val="20"/>
                <w:lang w:val="ro-RO"/>
              </w:rPr>
              <w:t xml:space="preserve">noiembrie 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>2021,</w:t>
            </w:r>
          </w:p>
          <w:p w14:paraId="1F0560AA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2C5A2AE8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în conformitate cu prevederile Regulamentului Autorității de Supraveghere Financiară nr. 5/2018 privind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emitenţii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de instrumente financiare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şi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operaţiuni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piaţă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>,</w:t>
            </w:r>
          </w:p>
          <w:p w14:paraId="1A2CD542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1756CD06" w14:textId="44FE09B0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>Societatea aduce la cunoștința acționarilor săi următoarele:</w:t>
            </w:r>
          </w:p>
          <w:p w14:paraId="539F36E9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  <w:p w14:paraId="52E8C04F" w14:textId="2D564905" w:rsidR="00024883" w:rsidRPr="00A3755E" w:rsidRDefault="00ED63CC" w:rsidP="00A3755E">
            <w:pPr>
              <w:pStyle w:val="Listparagraf"/>
              <w:numPr>
                <w:ilvl w:val="0"/>
                <w:numId w:val="11"/>
              </w:numPr>
              <w:tabs>
                <w:tab w:val="left" w:pos="2556"/>
              </w:tabs>
              <w:spacing w:after="0" w:line="240" w:lineRule="auto"/>
              <w:ind w:hanging="198"/>
              <w:jc w:val="both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b/>
                <w:sz w:val="20"/>
                <w:szCs w:val="20"/>
                <w:lang w:val="ro-RO"/>
              </w:rPr>
              <w:t>Nota pentru punctele</w:t>
            </w:r>
            <w:r w:rsidR="00024883" w:rsidRPr="00A3755E">
              <w:rPr>
                <w:rFonts w:cstheme="minorHAnsi"/>
                <w:b/>
                <w:sz w:val="20"/>
                <w:szCs w:val="20"/>
                <w:lang w:val="ro-RO"/>
              </w:rPr>
              <w:t xml:space="preserve"> 1</w:t>
            </w:r>
            <w:r w:rsidRPr="00A3755E">
              <w:rPr>
                <w:rFonts w:cstheme="minorHAnsi"/>
                <w:b/>
                <w:sz w:val="20"/>
                <w:szCs w:val="20"/>
                <w:lang w:val="ro-RO"/>
              </w:rPr>
              <w:t xml:space="preserve"> și 2</w:t>
            </w:r>
            <w:r w:rsidR="00024883" w:rsidRPr="00A3755E">
              <w:rPr>
                <w:rFonts w:cstheme="minorHAnsi"/>
                <w:b/>
                <w:sz w:val="20"/>
                <w:szCs w:val="20"/>
                <w:lang w:val="ro-RO"/>
              </w:rPr>
              <w:t xml:space="preserve"> de pe ordinea de zi AG</w:t>
            </w:r>
            <w:r w:rsidR="005D11FE" w:rsidRPr="00A3755E">
              <w:rPr>
                <w:rFonts w:cstheme="minorHAnsi"/>
                <w:b/>
                <w:sz w:val="20"/>
                <w:szCs w:val="20"/>
                <w:lang w:val="ro-RO"/>
              </w:rPr>
              <w:t>O</w:t>
            </w:r>
            <w:r w:rsidR="00024883" w:rsidRPr="00A3755E">
              <w:rPr>
                <w:rFonts w:cstheme="minorHAnsi"/>
                <w:b/>
                <w:sz w:val="20"/>
                <w:szCs w:val="20"/>
                <w:lang w:val="ro-RO"/>
              </w:rPr>
              <w:t>A</w:t>
            </w:r>
            <w:r w:rsidR="00CE4103" w:rsidRPr="00A3755E">
              <w:rPr>
                <w:rFonts w:cstheme="minorHAnsi"/>
                <w:b/>
                <w:sz w:val="20"/>
                <w:szCs w:val="20"/>
                <w:lang w:val="ro-RO"/>
              </w:rPr>
              <w:t xml:space="preserve"> </w:t>
            </w:r>
            <w:r w:rsidR="005D11FE" w:rsidRPr="00A3755E">
              <w:rPr>
                <w:rFonts w:cstheme="minorHAnsi"/>
                <w:b/>
                <w:sz w:val="20"/>
                <w:szCs w:val="20"/>
                <w:lang w:val="ro-RO"/>
              </w:rPr>
              <w:t>–</w:t>
            </w:r>
            <w:r w:rsidR="00CE4103" w:rsidRPr="00A3755E">
              <w:rPr>
                <w:rFonts w:cstheme="minorHAnsi"/>
                <w:b/>
                <w:sz w:val="20"/>
                <w:szCs w:val="20"/>
                <w:lang w:val="ro-RO"/>
              </w:rPr>
              <w:t xml:space="preserve"> </w:t>
            </w:r>
            <w:r w:rsidR="005D11FE" w:rsidRPr="00A3755E">
              <w:rPr>
                <w:rFonts w:cstheme="minorHAnsi"/>
                <w:b/>
                <w:sz w:val="20"/>
                <w:szCs w:val="20"/>
                <w:lang w:val="ro-RO"/>
              </w:rPr>
              <w:t>prelungirea mandatului auditorului financiar al Societății</w:t>
            </w:r>
          </w:p>
          <w:p w14:paraId="102337FD" w14:textId="4CC3D0DD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1CF8DAB1" w14:textId="24CABAE8" w:rsidR="00024883" w:rsidRPr="00A3755E" w:rsidRDefault="00024883" w:rsidP="00940D1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Administratorul Unic al Societății propune acționarilor Societății aprobarea </w:t>
            </w:r>
            <w:r w:rsidR="00ED63CC" w:rsidRPr="00A3755E">
              <w:rPr>
                <w:rFonts w:cstheme="minorHAnsi"/>
                <w:sz w:val="20"/>
                <w:szCs w:val="20"/>
                <w:lang w:val="ro-RO"/>
              </w:rPr>
              <w:t xml:space="preserve">prelungirii mandatului auditorului financiar al Societății pentru o perioadă de </w:t>
            </w:r>
            <w:r w:rsidR="00940D1E">
              <w:rPr>
                <w:rFonts w:cstheme="minorHAnsi"/>
                <w:sz w:val="20"/>
                <w:szCs w:val="20"/>
                <w:lang w:val="ro-RO"/>
              </w:rPr>
              <w:t>3 ani</w:t>
            </w:r>
            <w:r w:rsidR="00ED63CC" w:rsidRPr="00A3755E">
              <w:rPr>
                <w:rFonts w:cstheme="minorHAnsi"/>
                <w:sz w:val="20"/>
                <w:szCs w:val="20"/>
                <w:lang w:val="ro-RO"/>
              </w:rPr>
              <w:t xml:space="preserve"> în vederea auditării situațiilor financiare ale Societății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  <w:p w14:paraId="6604D690" w14:textId="77777777" w:rsidR="00ED63CC" w:rsidRPr="00A3755E" w:rsidRDefault="00ED63CC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62A8463A" w14:textId="01043A45" w:rsidR="00ED63CC" w:rsidRPr="00A3755E" w:rsidRDefault="00ED63CC" w:rsidP="00940D1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>Î</w:t>
            </w:r>
            <w:r w:rsidR="009A45FD" w:rsidRPr="00A3755E">
              <w:rPr>
                <w:rFonts w:cstheme="minorHAnsi"/>
                <w:sz w:val="20"/>
                <w:szCs w:val="20"/>
                <w:lang w:val="ro-RO"/>
              </w:rPr>
              <w:t>n data de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="00940D1E">
              <w:rPr>
                <w:rFonts w:cstheme="minorHAnsi"/>
                <w:sz w:val="20"/>
                <w:szCs w:val="20"/>
                <w:lang w:val="ro-RO"/>
              </w:rPr>
              <w:t>07.07.2021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Societatea </w:t>
            </w:r>
            <w:r w:rsidR="009A45FD" w:rsidRPr="00A3755E">
              <w:rPr>
                <w:rFonts w:cstheme="minorHAnsi"/>
                <w:sz w:val="20"/>
                <w:szCs w:val="20"/>
                <w:lang w:val="ro-RO"/>
              </w:rPr>
              <w:t xml:space="preserve">a încheiat 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un contract de </w:t>
            </w:r>
            <w:r w:rsidR="009A45FD" w:rsidRPr="00A3755E">
              <w:rPr>
                <w:rFonts w:cstheme="minorHAnsi"/>
                <w:sz w:val="20"/>
                <w:szCs w:val="20"/>
                <w:lang w:val="ro-RO"/>
              </w:rPr>
              <w:t xml:space="preserve">servicii de 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audit financiar cu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Mazars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Romania SRL</w:t>
            </w:r>
            <w:r w:rsidR="009A45FD" w:rsidRPr="00A3755E">
              <w:rPr>
                <w:rFonts w:cstheme="minorHAnsi"/>
                <w:sz w:val="20"/>
                <w:szCs w:val="20"/>
                <w:lang w:val="ro-RO"/>
              </w:rPr>
              <w:t>, pentru care se solicita ratificarea de către acționarii Societății</w:t>
            </w:r>
          </w:p>
          <w:p w14:paraId="3D504770" w14:textId="77777777" w:rsidR="00024883" w:rsidRPr="00A3755E" w:rsidRDefault="00024883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57A343D1" w14:textId="376E0FD4" w:rsidR="009A45FD" w:rsidRPr="00A3755E" w:rsidRDefault="009A45FD" w:rsidP="00A37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>Conform art. 111 alin. 2 lit. b</w:t>
            </w:r>
            <w:r w:rsidRPr="00A3755E">
              <w:rPr>
                <w:rFonts w:cstheme="minorHAnsi"/>
                <w:sz w:val="20"/>
                <w:szCs w:val="20"/>
                <w:vertAlign w:val="superscript"/>
                <w:lang w:val="ro-RO"/>
              </w:rPr>
              <w:t>1</w:t>
            </w: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) din Legea 31/1990 privind societățile, în cazul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societăţilor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ale căror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situaţii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financiare sunt auditate, AGOA este obligată să numească sau să demită auditorul financiar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ro-RO"/>
              </w:rPr>
              <w:t>şi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 să</w:t>
            </w:r>
          </w:p>
          <w:p w14:paraId="4EF23A6F" w14:textId="5D1AF684" w:rsidR="009A45FD" w:rsidRPr="00A3755E" w:rsidRDefault="009A45FD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fixeze durata minimă a contractului de audit financiar. </w:t>
            </w:r>
          </w:p>
          <w:p w14:paraId="3DB88639" w14:textId="77777777" w:rsidR="009A45FD" w:rsidRPr="00A3755E" w:rsidRDefault="009A45FD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3356D47A" w14:textId="4CF5291A" w:rsidR="004F5372" w:rsidRPr="00A3755E" w:rsidRDefault="008127CA" w:rsidP="00A3755E">
            <w:pPr>
              <w:pStyle w:val="Listparagraf"/>
              <w:numPr>
                <w:ilvl w:val="0"/>
                <w:numId w:val="11"/>
              </w:numPr>
              <w:tabs>
                <w:tab w:val="left" w:pos="2556"/>
              </w:tabs>
              <w:spacing w:after="0" w:line="240" w:lineRule="auto"/>
              <w:ind w:hanging="198"/>
              <w:jc w:val="both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lastRenderedPageBreak/>
              <w:t>Notă privind punctel</w:t>
            </w:r>
            <w:r w:rsidR="00ED63CC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e 3 și 4 de pe ordinea de zi AGO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A - d</w:t>
            </w:r>
            <w:r w:rsidR="008176FF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>ata de Înregistrare și</w:t>
            </w:r>
            <w:r w:rsidR="004F5372" w:rsidRPr="00A3755E">
              <w:rPr>
                <w:rFonts w:cstheme="minorHAnsi"/>
                <w:b/>
                <w:bCs/>
                <w:sz w:val="20"/>
                <w:szCs w:val="20"/>
                <w:lang w:val="ro-RO"/>
              </w:rPr>
              <w:t xml:space="preserve"> Ex-Date</w:t>
            </w:r>
          </w:p>
          <w:p w14:paraId="25221261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  <w:p w14:paraId="2727E6B6" w14:textId="74A1E541" w:rsidR="004F5372" w:rsidRPr="00A3755E" w:rsidRDefault="008176FF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A3755E">
              <w:rPr>
                <w:rFonts w:cstheme="minorHAnsi"/>
                <w:sz w:val="20"/>
                <w:szCs w:val="20"/>
                <w:lang w:val="ro-RO"/>
              </w:rPr>
              <w:t xml:space="preserve">Data de înregistrare și </w:t>
            </w:r>
            <w:r w:rsidR="006F1AE1" w:rsidRPr="00A3755E">
              <w:rPr>
                <w:rFonts w:cstheme="minorHAnsi"/>
                <w:sz w:val="20"/>
                <w:szCs w:val="20"/>
                <w:lang w:val="ro-RO"/>
              </w:rPr>
              <w:t>Ex-Date sunt propuse în conformitate cu prevederile Legii nr. 24/2017 privind emitenții de instrumente financiare și operațiuni de piață și prevederile Regulamentului ASF nr. 5/2018 privind emitenții de instrumente financiare și operațiuni de piață</w:t>
            </w:r>
            <w:r w:rsidR="004F5372" w:rsidRPr="00A3755E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  <w:p w14:paraId="3102B270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4508" w:type="dxa"/>
          </w:tcPr>
          <w:p w14:paraId="7FCB3554" w14:textId="46E2B8F1" w:rsidR="004F5372" w:rsidRPr="00A3755E" w:rsidRDefault="00F96016" w:rsidP="00A3755E">
            <w:pPr>
              <w:tabs>
                <w:tab w:val="left" w:pos="255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>Supporting</w:t>
            </w:r>
            <w:r w:rsidR="004F5372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notes regarding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items</w:t>
            </w:r>
            <w:r w:rsidR="004F5372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784B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on the agenda of the </w:t>
            </w:r>
            <w:r w:rsidR="00175ECF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rdinary General Meeting of Shareholders dated on 2</w:t>
            </w:r>
            <w:r w:rsidR="00103DD4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4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/2</w:t>
            </w:r>
            <w:r w:rsidR="00103DD4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5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03DD4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November 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2021</w:t>
            </w:r>
          </w:p>
          <w:p w14:paraId="31C9C98F" w14:textId="77777777" w:rsidR="004F5372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1A1FAF4" w14:textId="77777777" w:rsidR="00612DB2" w:rsidRPr="00A3755E" w:rsidRDefault="00612DB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F20E14F" w14:textId="43306595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HOLDE AGRI INVEST S.A.</w:t>
            </w:r>
            <w:r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, a joint-stock company, organized and operating under the Romanian laws, with its registered office in Bucharest, </w:t>
            </w:r>
            <w:r w:rsidR="00103DD4"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1 N</w:t>
            </w:r>
            <w:r w:rsidR="007B4B95"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e</w:t>
            </w:r>
            <w:r w:rsidR="00103DD4"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storei Entrance, Building B, 10</w:t>
            </w:r>
            <w:r w:rsidR="00103DD4" w:rsidRPr="00A3755E">
              <w:rPr>
                <w:rFonts w:cstheme="minorHAnsi"/>
                <w:bCs/>
                <w:noProof/>
                <w:sz w:val="20"/>
                <w:szCs w:val="20"/>
                <w:vertAlign w:val="superscript"/>
                <w:lang w:val="en-GB"/>
              </w:rPr>
              <w:t>th</w:t>
            </w:r>
            <w:r w:rsidR="00103DD4"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 floor, District 4</w:t>
            </w:r>
            <w:r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, registered with the Trade Registry under no. J40/9208/2018, European Unique Identifier (EUID): ROONRC. J40/9208/2018, unique registration number 39549730, with a subscribed and paid-up share capital of RON </w:t>
            </w:r>
            <w:r w:rsidR="00103DD4" w:rsidRPr="00A3755E">
              <w:rPr>
                <w:rFonts w:cstheme="minorHAnsi"/>
                <w:bCs/>
                <w:sz w:val="20"/>
                <w:szCs w:val="20"/>
                <w:lang w:val="en-GB"/>
              </w:rPr>
              <w:t>64,069,796</w:t>
            </w:r>
            <w:r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, divided into </w:t>
            </w:r>
            <w:r w:rsidR="00103DD4" w:rsidRPr="00A3755E">
              <w:rPr>
                <w:rFonts w:cstheme="minorHAnsi"/>
                <w:bCs/>
                <w:sz w:val="20"/>
                <w:szCs w:val="20"/>
                <w:lang w:val="en-GB"/>
              </w:rPr>
              <w:t xml:space="preserve">64,069,796 </w:t>
            </w:r>
            <w:r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registered shares, of which </w:t>
            </w:r>
            <w:r w:rsidR="00103DD4" w:rsidRPr="00A3755E">
              <w:rPr>
                <w:rFonts w:cstheme="minorHAnsi"/>
                <w:bCs/>
                <w:sz w:val="20"/>
                <w:szCs w:val="20"/>
                <w:lang w:val="en-GB"/>
              </w:rPr>
              <w:t>58,242,621</w:t>
            </w:r>
            <w:r w:rsidR="00103DD4" w:rsidRPr="00A3755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ordinary shares and 5,827,175 preference shares with preferred dividend with no voting right (the “</w:t>
            </w:r>
            <w:r w:rsidRPr="00A3755E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Company</w:t>
            </w:r>
            <w:r w:rsidRPr="00A3755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”),</w:t>
            </w:r>
          </w:p>
          <w:p w14:paraId="2B708C09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7B90452" w14:textId="5D3CF6AB" w:rsidR="004F5372" w:rsidRPr="00A3755E" w:rsidRDefault="00F2784B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Considering the </w:t>
            </w:r>
            <w:r w:rsidR="005D11FE" w:rsidRPr="00A3755E"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="00701C0E" w:rsidRPr="00A3755E">
              <w:rPr>
                <w:rFonts w:cstheme="minorHAnsi"/>
                <w:sz w:val="20"/>
                <w:szCs w:val="20"/>
                <w:lang w:val="en-GB"/>
              </w:rPr>
              <w:t xml:space="preserve">rdinary </w:t>
            </w:r>
            <w:r w:rsidR="004F5372" w:rsidRPr="00A3755E">
              <w:rPr>
                <w:rFonts w:cstheme="minorHAnsi"/>
                <w:sz w:val="20"/>
                <w:szCs w:val="20"/>
                <w:lang w:val="en-GB"/>
              </w:rPr>
              <w:t>General Meeting of Shareholders (the “</w:t>
            </w:r>
            <w:r w:rsidR="005D11F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</w:t>
            </w:r>
            <w:r w:rsidR="00701C0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GMS</w:t>
            </w:r>
            <w:r w:rsidR="004F5372" w:rsidRPr="00A3755E">
              <w:rPr>
                <w:rFonts w:cstheme="minorHAnsi"/>
                <w:sz w:val="20"/>
                <w:szCs w:val="20"/>
                <w:lang w:val="en-GB"/>
              </w:rPr>
              <w:t>”) of the Company to be held on 2</w:t>
            </w:r>
            <w:r w:rsidR="00103DD4" w:rsidRPr="00A3755E"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="004F5372" w:rsidRPr="00A3755E">
              <w:rPr>
                <w:rFonts w:cstheme="minorHAnsi"/>
                <w:sz w:val="20"/>
                <w:szCs w:val="20"/>
                <w:lang w:val="en-GB"/>
              </w:rPr>
              <w:t>/2</w:t>
            </w:r>
            <w:r w:rsidR="00103DD4" w:rsidRPr="00A3755E">
              <w:rPr>
                <w:rFonts w:cstheme="minorHAnsi"/>
                <w:sz w:val="20"/>
                <w:szCs w:val="20"/>
                <w:lang w:val="en-GB"/>
              </w:rPr>
              <w:t>5</w:t>
            </w:r>
            <w:r w:rsidR="004F5372" w:rsidRPr="00A3755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03DD4" w:rsidRPr="00A3755E">
              <w:rPr>
                <w:rFonts w:cstheme="minorHAnsi"/>
                <w:sz w:val="20"/>
                <w:szCs w:val="20"/>
                <w:lang w:val="en-GB"/>
              </w:rPr>
              <w:t>November</w:t>
            </w:r>
            <w:r w:rsidR="004F5372" w:rsidRPr="00A3755E">
              <w:rPr>
                <w:rFonts w:cstheme="minorHAnsi"/>
                <w:sz w:val="20"/>
                <w:szCs w:val="20"/>
                <w:lang w:val="en-GB"/>
              </w:rPr>
              <w:t xml:space="preserve"> 2021,</w:t>
            </w:r>
          </w:p>
          <w:p w14:paraId="2FE78978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9BF49F3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in accordance with the provisions of the Financial Supervisory Authority Regulation no. 5/2018 on issuers of financial instruments and market operations, </w:t>
            </w:r>
          </w:p>
          <w:p w14:paraId="4A84C36C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546381C" w14:textId="3DD4846A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sz w:val="20"/>
                <w:szCs w:val="20"/>
                <w:lang w:val="en-GB"/>
              </w:rPr>
              <w:t>The Company discloses to its shareholders the following:</w:t>
            </w:r>
          </w:p>
          <w:p w14:paraId="1CE8A077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1E356C0" w14:textId="33F8ACAA" w:rsidR="004F5372" w:rsidRPr="00A3755E" w:rsidRDefault="00CE4103" w:rsidP="00A3755E">
            <w:pPr>
              <w:pStyle w:val="Listparagraf"/>
              <w:numPr>
                <w:ilvl w:val="0"/>
                <w:numId w:val="10"/>
              </w:numPr>
              <w:tabs>
                <w:tab w:val="left" w:pos="2556"/>
              </w:tabs>
              <w:spacing w:after="0" w:line="240" w:lineRule="auto"/>
              <w:ind w:left="342" w:hanging="193"/>
              <w:jc w:val="both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Note for item</w:t>
            </w:r>
            <w:r w:rsidR="00ED63CC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s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1 </w:t>
            </w:r>
            <w:r w:rsidR="00ED63CC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and 2 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on the agenda of </w:t>
            </w:r>
            <w:r w:rsidR="005D11F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GSM – </w:t>
            </w:r>
            <w:r w:rsidR="005D11FE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prolongation of the mandate of the Company’s financial auditor</w:t>
            </w:r>
          </w:p>
          <w:p w14:paraId="3CF3B4A1" w14:textId="77777777" w:rsidR="00CE4103" w:rsidRPr="00A3755E" w:rsidRDefault="00CE4103" w:rsidP="00A3755E">
            <w:pPr>
              <w:tabs>
                <w:tab w:val="left" w:pos="1049"/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08BD1D09" w14:textId="607B3081" w:rsidR="008127CA" w:rsidRPr="00A3755E" w:rsidRDefault="009A45FD" w:rsidP="00940D1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The Sole Director of the Company proposes to the Company’s shareholders the approval of the prolongation of the mandate of the Company’s financial auditor, for a period of </w:t>
            </w:r>
            <w:r w:rsidR="00940D1E">
              <w:rPr>
                <w:rFonts w:cstheme="minorHAnsi"/>
                <w:sz w:val="20"/>
                <w:szCs w:val="20"/>
                <w:lang w:val="en-GB"/>
              </w:rPr>
              <w:t>three years</w:t>
            </w:r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 for auditing the financial statements of the Company.</w:t>
            </w:r>
          </w:p>
          <w:p w14:paraId="6E701272" w14:textId="77777777" w:rsidR="009A45FD" w:rsidRPr="00A3755E" w:rsidRDefault="009A45FD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14:paraId="01D30363" w14:textId="1A3C2589" w:rsidR="009A45FD" w:rsidRPr="00A3755E" w:rsidRDefault="009A45FD" w:rsidP="00940D1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sz w:val="20"/>
                <w:szCs w:val="20"/>
                <w:lang w:val="en-GB"/>
              </w:rPr>
              <w:t>On</w:t>
            </w:r>
            <w:r w:rsidR="00940D1E">
              <w:rPr>
                <w:rFonts w:cstheme="minorHAnsi"/>
                <w:sz w:val="20"/>
                <w:szCs w:val="20"/>
                <w:lang w:val="en-GB"/>
              </w:rPr>
              <w:t xml:space="preserve"> 07.07.2021</w:t>
            </w:r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, the Company entered into a financial audit service agreement with </w:t>
            </w:r>
            <w:proofErr w:type="spellStart"/>
            <w:r w:rsidRPr="00A3755E">
              <w:rPr>
                <w:rFonts w:cstheme="minorHAnsi"/>
                <w:sz w:val="20"/>
                <w:szCs w:val="20"/>
                <w:lang w:val="en-GB"/>
              </w:rPr>
              <w:t>Mazars</w:t>
            </w:r>
            <w:proofErr w:type="spellEnd"/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 Romania S.R.L.</w:t>
            </w:r>
            <w:bookmarkStart w:id="0" w:name="_GoBack"/>
            <w:bookmarkEnd w:id="0"/>
            <w:r w:rsidRPr="00A3755E">
              <w:rPr>
                <w:rFonts w:cstheme="minorHAnsi"/>
                <w:sz w:val="20"/>
                <w:szCs w:val="20"/>
                <w:lang w:val="en-GB"/>
              </w:rPr>
              <w:t>, with respect to which it is requested the ratification of the Company’s shareholders.</w:t>
            </w:r>
          </w:p>
          <w:p w14:paraId="2F4EE717" w14:textId="77777777" w:rsidR="00940D1E" w:rsidRDefault="00940D1E" w:rsidP="00A375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5C80A037" w14:textId="5AA9772C" w:rsidR="009A45FD" w:rsidRDefault="009A45FD" w:rsidP="00A375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sz w:val="20"/>
                <w:szCs w:val="20"/>
                <w:lang w:val="en-GB"/>
              </w:rPr>
              <w:t>According to art. 111 para. 2 lit. b</w:t>
            </w:r>
            <w:r w:rsidRPr="00A3755E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Pr="00A3755E">
              <w:rPr>
                <w:rFonts w:cstheme="minorHAnsi"/>
                <w:sz w:val="20"/>
                <w:szCs w:val="20"/>
                <w:lang w:val="en-GB"/>
              </w:rPr>
              <w:t>) of Law 31/1990 on companies, in the case of companies whose financial statements are audited, the OGMS is obliged to appoint or dismiss the financial auditor and to</w:t>
            </w:r>
            <w:r w:rsidR="00EC3CEA" w:rsidRPr="00A3755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A3755E">
              <w:rPr>
                <w:rFonts w:cstheme="minorHAnsi"/>
                <w:sz w:val="20"/>
                <w:szCs w:val="20"/>
                <w:lang w:val="en-GB"/>
              </w:rPr>
              <w:t>set the minimum duration of the financial audit contrac</w:t>
            </w:r>
            <w:r w:rsidR="00EC3CEA" w:rsidRPr="00A3755E">
              <w:rPr>
                <w:rFonts w:cstheme="minorHAnsi"/>
                <w:sz w:val="20"/>
                <w:szCs w:val="20"/>
                <w:lang w:val="en-GB"/>
              </w:rPr>
              <w:t>t.</w:t>
            </w:r>
          </w:p>
          <w:p w14:paraId="0F38BE1E" w14:textId="77777777" w:rsidR="007025F3" w:rsidRPr="00A3755E" w:rsidRDefault="007025F3" w:rsidP="00A3755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7F312A99" w14:textId="1A3D0E28" w:rsidR="004F5372" w:rsidRPr="00A3755E" w:rsidRDefault="008127CA" w:rsidP="00A3755E">
            <w:pPr>
              <w:pStyle w:val="Listparagraf"/>
              <w:numPr>
                <w:ilvl w:val="0"/>
                <w:numId w:val="10"/>
              </w:numPr>
              <w:tabs>
                <w:tab w:val="left" w:pos="2556"/>
              </w:tabs>
              <w:spacing w:after="0" w:line="240" w:lineRule="auto"/>
              <w:ind w:left="342" w:hanging="193"/>
              <w:jc w:val="both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Note for item </w:t>
            </w:r>
            <w:r w:rsidR="007025F3">
              <w:rPr>
                <w:rFonts w:cstheme="minorHAnsi"/>
                <w:b/>
                <w:bCs/>
                <w:sz w:val="20"/>
                <w:szCs w:val="20"/>
                <w:lang w:val="en-GB"/>
              </w:rPr>
              <w:t>3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="00ED63CC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4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of the agenda of the </w:t>
            </w:r>
            <w:r w:rsidR="00ED63CC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GSM - </w:t>
            </w:r>
            <w:r w:rsidR="008176FF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Registration </w:t>
            </w:r>
            <w:r w:rsidR="004F5372" w:rsidRPr="00A3755E">
              <w:rPr>
                <w:rFonts w:cstheme="minorHAnsi"/>
                <w:b/>
                <w:bCs/>
                <w:sz w:val="20"/>
                <w:szCs w:val="20"/>
                <w:lang w:val="en-GB"/>
              </w:rPr>
              <w:t>Date and Ex-Date</w:t>
            </w:r>
          </w:p>
          <w:p w14:paraId="1C3C3CE6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4DF90D35" w14:textId="3DF5FA71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="008176FF" w:rsidRPr="00A3755E">
              <w:rPr>
                <w:rFonts w:cstheme="minorHAnsi"/>
                <w:sz w:val="20"/>
                <w:szCs w:val="20"/>
                <w:lang w:val="en-GB"/>
              </w:rPr>
              <w:t>Registration</w:t>
            </w:r>
            <w:r w:rsidRPr="00A3755E">
              <w:rPr>
                <w:rFonts w:cstheme="minorHAnsi"/>
                <w:sz w:val="20"/>
                <w:szCs w:val="20"/>
                <w:lang w:val="en-GB"/>
              </w:rPr>
              <w:t xml:space="preserve"> Date and the Ex-Date are proposed in accordance with the provisions of Law no. 24/2017 on issuers of financial instruments and market operations and of the </w:t>
            </w:r>
            <w:r w:rsidR="006F1AE1" w:rsidRPr="00A3755E">
              <w:rPr>
                <w:rFonts w:cstheme="minorHAnsi"/>
                <w:sz w:val="20"/>
                <w:szCs w:val="20"/>
                <w:lang w:val="en-GB"/>
              </w:rPr>
              <w:t xml:space="preserve">ASF </w:t>
            </w:r>
            <w:r w:rsidRPr="00A3755E">
              <w:rPr>
                <w:rFonts w:cstheme="minorHAnsi"/>
                <w:sz w:val="20"/>
                <w:szCs w:val="20"/>
                <w:lang w:val="en-GB"/>
              </w:rPr>
              <w:t>Regulation no. 5/2018 on issuers of financial instruments and market operations.</w:t>
            </w:r>
          </w:p>
          <w:p w14:paraId="4F845358" w14:textId="77777777" w:rsidR="004F5372" w:rsidRPr="00A3755E" w:rsidRDefault="004F5372" w:rsidP="00A3755E">
            <w:pPr>
              <w:tabs>
                <w:tab w:val="left" w:pos="2556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30A86DF0" w14:textId="1B723DE4" w:rsidR="000B17B8" w:rsidRPr="00A3755E" w:rsidRDefault="000B17B8" w:rsidP="00A3755E">
      <w:pPr>
        <w:tabs>
          <w:tab w:val="left" w:pos="2556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A58420" w14:textId="77777777" w:rsidR="000418B7" w:rsidRPr="00A3755E" w:rsidRDefault="000418B7" w:rsidP="00A3755E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3755E">
        <w:rPr>
          <w:rFonts w:cstheme="minorHAnsi"/>
          <w:b/>
          <w:sz w:val="20"/>
          <w:szCs w:val="20"/>
        </w:rPr>
        <w:t xml:space="preserve">Administrator </w:t>
      </w:r>
      <w:proofErr w:type="spellStart"/>
      <w:r w:rsidRPr="00A3755E">
        <w:rPr>
          <w:rFonts w:cstheme="minorHAnsi"/>
          <w:b/>
          <w:sz w:val="20"/>
          <w:szCs w:val="20"/>
        </w:rPr>
        <w:t>Unic</w:t>
      </w:r>
      <w:proofErr w:type="spellEnd"/>
      <w:r w:rsidRPr="00A3755E">
        <w:rPr>
          <w:rFonts w:cstheme="minorHAnsi"/>
          <w:b/>
          <w:sz w:val="20"/>
          <w:szCs w:val="20"/>
        </w:rPr>
        <w:t>/Sole Director,</w:t>
      </w:r>
    </w:p>
    <w:p w14:paraId="6ACA9D0F" w14:textId="77777777" w:rsidR="000418B7" w:rsidRPr="00A3755E" w:rsidRDefault="000418B7" w:rsidP="00A3755E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3755E">
        <w:rPr>
          <w:rFonts w:cstheme="minorHAnsi"/>
          <w:b/>
          <w:sz w:val="20"/>
          <w:szCs w:val="20"/>
        </w:rPr>
        <w:t>HOLDE AGRI MANAGEMENT S.R.L.</w:t>
      </w:r>
    </w:p>
    <w:p w14:paraId="79F835B1" w14:textId="77777777" w:rsidR="000418B7" w:rsidRPr="00A3755E" w:rsidRDefault="000418B7" w:rsidP="00A3755E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230C136" w14:textId="77777777" w:rsidR="000418B7" w:rsidRPr="00A3755E" w:rsidRDefault="000418B7" w:rsidP="00A3755E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70FC79" w14:textId="77777777" w:rsidR="000418B7" w:rsidRPr="00A3755E" w:rsidRDefault="000418B7" w:rsidP="00A3755E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A3755E">
        <w:rPr>
          <w:rFonts w:cstheme="minorHAnsi"/>
          <w:bCs/>
          <w:sz w:val="20"/>
          <w:szCs w:val="20"/>
        </w:rPr>
        <w:t>_____________________</w:t>
      </w:r>
    </w:p>
    <w:p w14:paraId="00928F38" w14:textId="4657C43A" w:rsidR="000418B7" w:rsidRPr="00A3755E" w:rsidRDefault="000418B7" w:rsidP="00A3755E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proofErr w:type="spellStart"/>
      <w:r w:rsidRPr="00A3755E">
        <w:rPr>
          <w:rFonts w:cstheme="minorHAnsi"/>
          <w:bCs/>
          <w:sz w:val="20"/>
          <w:szCs w:val="20"/>
        </w:rPr>
        <w:t>Prin</w:t>
      </w:r>
      <w:proofErr w:type="spellEnd"/>
      <w:r w:rsidRPr="00A3755E">
        <w:rPr>
          <w:rFonts w:cstheme="minorHAnsi"/>
          <w:bCs/>
          <w:sz w:val="20"/>
          <w:szCs w:val="20"/>
        </w:rPr>
        <w:t xml:space="preserve">/By Dl/Mr. </w:t>
      </w:r>
      <w:r w:rsidR="008127CA" w:rsidRPr="00A3755E">
        <w:rPr>
          <w:rFonts w:cstheme="minorHAnsi"/>
          <w:bCs/>
          <w:sz w:val="20"/>
          <w:szCs w:val="20"/>
        </w:rPr>
        <w:t>Iulian-</w:t>
      </w:r>
      <w:proofErr w:type="spellStart"/>
      <w:r w:rsidR="008127CA" w:rsidRPr="00A3755E">
        <w:rPr>
          <w:rFonts w:cstheme="minorHAnsi"/>
          <w:bCs/>
          <w:sz w:val="20"/>
          <w:szCs w:val="20"/>
        </w:rPr>
        <w:t>Florentin</w:t>
      </w:r>
      <w:proofErr w:type="spellEnd"/>
      <w:r w:rsidR="008127CA" w:rsidRPr="00A3755E">
        <w:rPr>
          <w:rFonts w:cstheme="minorHAnsi"/>
          <w:bCs/>
          <w:sz w:val="20"/>
          <w:szCs w:val="20"/>
        </w:rPr>
        <w:t xml:space="preserve"> </w:t>
      </w:r>
      <w:proofErr w:type="spellStart"/>
      <w:r w:rsidR="008127CA" w:rsidRPr="00A3755E">
        <w:rPr>
          <w:rFonts w:cstheme="minorHAnsi"/>
          <w:bCs/>
          <w:sz w:val="20"/>
          <w:szCs w:val="20"/>
        </w:rPr>
        <w:t>Cîrciumaru</w:t>
      </w:r>
      <w:proofErr w:type="spellEnd"/>
    </w:p>
    <w:p w14:paraId="118D01FB" w14:textId="77777777" w:rsidR="000418B7" w:rsidRPr="00A3755E" w:rsidRDefault="000418B7" w:rsidP="00A3755E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proofErr w:type="spellStart"/>
      <w:r w:rsidRPr="00A3755E">
        <w:rPr>
          <w:rFonts w:cstheme="minorHAnsi"/>
          <w:bCs/>
          <w:sz w:val="20"/>
          <w:szCs w:val="20"/>
        </w:rPr>
        <w:t>Reprezentant</w:t>
      </w:r>
      <w:proofErr w:type="spellEnd"/>
      <w:r w:rsidRPr="00A3755E">
        <w:rPr>
          <w:rFonts w:cstheme="minorHAnsi"/>
          <w:bCs/>
          <w:sz w:val="20"/>
          <w:szCs w:val="20"/>
        </w:rPr>
        <w:t xml:space="preserve"> permanent/Permanent </w:t>
      </w:r>
      <w:proofErr w:type="spellStart"/>
      <w:r w:rsidRPr="00A3755E">
        <w:rPr>
          <w:rFonts w:cstheme="minorHAnsi"/>
          <w:bCs/>
          <w:sz w:val="20"/>
          <w:szCs w:val="20"/>
        </w:rPr>
        <w:t>reprezentative</w:t>
      </w:r>
      <w:proofErr w:type="spellEnd"/>
    </w:p>
    <w:p w14:paraId="75F008E7" w14:textId="77777777" w:rsidR="000418B7" w:rsidRPr="00A3755E" w:rsidRDefault="000418B7" w:rsidP="00A3755E">
      <w:pPr>
        <w:tabs>
          <w:tab w:val="left" w:pos="2556"/>
        </w:tabs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sectPr w:rsidR="000418B7" w:rsidRPr="00A3755E" w:rsidSect="008176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450" w:left="1440" w:header="708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A466" w14:textId="77777777" w:rsidR="001958F1" w:rsidRDefault="001958F1" w:rsidP="00D236DA">
      <w:pPr>
        <w:spacing w:after="0" w:line="240" w:lineRule="auto"/>
      </w:pPr>
      <w:r>
        <w:separator/>
      </w:r>
    </w:p>
  </w:endnote>
  <w:endnote w:type="continuationSeparator" w:id="0">
    <w:p w14:paraId="32F72A1A" w14:textId="77777777" w:rsidR="001958F1" w:rsidRDefault="001958F1" w:rsidP="00D2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99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47311" w14:textId="1F85B9E3" w:rsidR="004F5372" w:rsidRDefault="004F537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9F5B2" w14:textId="07FD96CB" w:rsidR="00E93D99" w:rsidRPr="00FC4E5C" w:rsidRDefault="00E93D99" w:rsidP="00E04941">
    <w:pPr>
      <w:pStyle w:val="Antet"/>
      <w:jc w:val="center"/>
      <w:rPr>
        <w:rFonts w:ascii="Corbel" w:hAnsi="Corbel" w:cs="Calibri Ligh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743F" w14:textId="77777777" w:rsidR="004F5372" w:rsidRPr="00FC4E5C" w:rsidRDefault="004F5372" w:rsidP="004F5372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proofErr w:type="spellStart"/>
    <w:r w:rsidRPr="00FC4E5C">
      <w:rPr>
        <w:rFonts w:ascii="Corbel" w:hAnsi="Corbel" w:cs="Calibri Light"/>
        <w:b/>
        <w:bCs/>
        <w:sz w:val="18"/>
        <w:szCs w:val="18"/>
      </w:rPr>
      <w:t>Holde</w:t>
    </w:r>
    <w:proofErr w:type="spellEnd"/>
    <w:r w:rsidRPr="00FC4E5C">
      <w:rPr>
        <w:rFonts w:ascii="Corbel" w:hAnsi="Corbel" w:cs="Calibri Light"/>
        <w:b/>
        <w:bCs/>
        <w:sz w:val="18"/>
        <w:szCs w:val="18"/>
      </w:rPr>
      <w:t xml:space="preserve"> </w:t>
    </w:r>
    <w:proofErr w:type="spellStart"/>
    <w:r w:rsidRPr="00FC4E5C">
      <w:rPr>
        <w:rFonts w:ascii="Corbel" w:hAnsi="Corbel" w:cs="Calibri Light"/>
        <w:b/>
        <w:bCs/>
        <w:sz w:val="18"/>
        <w:szCs w:val="18"/>
      </w:rPr>
      <w:t>Agri</w:t>
    </w:r>
    <w:proofErr w:type="spellEnd"/>
    <w:r w:rsidRPr="00FC4E5C">
      <w:rPr>
        <w:rFonts w:ascii="Corbel" w:hAnsi="Corbel" w:cs="Calibri Light"/>
        <w:b/>
        <w:bCs/>
        <w:sz w:val="18"/>
        <w:szCs w:val="18"/>
      </w:rPr>
      <w:t xml:space="preserve"> Invest S</w:t>
    </w:r>
    <w:r>
      <w:rPr>
        <w:rFonts w:ascii="Corbel" w:hAnsi="Corbel" w:cs="Calibri Light"/>
        <w:b/>
        <w:bCs/>
        <w:sz w:val="18"/>
        <w:szCs w:val="18"/>
      </w:rPr>
      <w:t>.</w:t>
    </w:r>
    <w:r w:rsidRPr="00FC4E5C">
      <w:rPr>
        <w:rFonts w:ascii="Corbel" w:hAnsi="Corbel" w:cs="Calibri Light"/>
        <w:b/>
        <w:bCs/>
        <w:sz w:val="18"/>
        <w:szCs w:val="18"/>
      </w:rPr>
      <w:t>A</w:t>
    </w:r>
    <w:r>
      <w:rPr>
        <w:rFonts w:ascii="Corbel" w:hAnsi="Corbel" w:cs="Calibri Light"/>
        <w:b/>
        <w:bCs/>
        <w:sz w:val="18"/>
        <w:szCs w:val="18"/>
      </w:rPr>
      <w:t>.</w:t>
    </w:r>
  </w:p>
  <w:p w14:paraId="089B8030" w14:textId="77777777" w:rsidR="004F5372" w:rsidRPr="00FC4E5C" w:rsidRDefault="004F5372" w:rsidP="004F5372">
    <w:pPr>
      <w:pStyle w:val="Antet"/>
      <w:jc w:val="center"/>
      <w:rPr>
        <w:rFonts w:ascii="Corbel" w:hAnsi="Corbel" w:cs="Calibri Light"/>
        <w:sz w:val="18"/>
        <w:szCs w:val="18"/>
      </w:rPr>
    </w:pPr>
    <w:r w:rsidRPr="00FC4E5C">
      <w:rPr>
        <w:rFonts w:ascii="Corbel" w:hAnsi="Corbel" w:cs="Calibri Light"/>
        <w:sz w:val="18"/>
        <w:szCs w:val="18"/>
      </w:rPr>
      <w:t>Trade Registry No: J40/9208/2018; CUI 39549730</w:t>
    </w:r>
  </w:p>
  <w:p w14:paraId="5091691C" w14:textId="3C6FC3F1" w:rsidR="004F5372" w:rsidRPr="00FC4E5C" w:rsidRDefault="004F5372" w:rsidP="00DF2F2A">
    <w:pPr>
      <w:pStyle w:val="Antet"/>
      <w:jc w:val="center"/>
      <w:rPr>
        <w:rFonts w:ascii="Corbel" w:hAnsi="Corbel" w:cs="Calibri Light"/>
        <w:sz w:val="18"/>
        <w:szCs w:val="18"/>
      </w:rPr>
    </w:pPr>
    <w:r w:rsidRPr="00FC4E5C">
      <w:rPr>
        <w:rFonts w:ascii="Corbel" w:hAnsi="Corbel" w:cs="Calibri Light"/>
        <w:sz w:val="18"/>
        <w:szCs w:val="18"/>
      </w:rPr>
      <w:t xml:space="preserve">Headquarters: </w:t>
    </w:r>
    <w:r w:rsidR="0003619C">
      <w:rPr>
        <w:rFonts w:ascii="Corbel" w:hAnsi="Corbel" w:cs="Calibri Light"/>
        <w:sz w:val="18"/>
        <w:szCs w:val="18"/>
      </w:rPr>
      <w:t xml:space="preserve">Bucharest, 1 </w:t>
    </w:r>
    <w:proofErr w:type="spellStart"/>
    <w:r w:rsidR="0003619C">
      <w:rPr>
        <w:rFonts w:ascii="Corbel" w:hAnsi="Corbel" w:cs="Calibri Light"/>
        <w:sz w:val="18"/>
        <w:szCs w:val="18"/>
      </w:rPr>
      <w:t>Ne</w:t>
    </w:r>
    <w:r w:rsidR="00DF2F2A" w:rsidRPr="00DF2F2A">
      <w:rPr>
        <w:rFonts w:ascii="Corbel" w:hAnsi="Corbel" w:cs="Calibri Light"/>
        <w:sz w:val="18"/>
        <w:szCs w:val="18"/>
      </w:rPr>
      <w:t>storei</w:t>
    </w:r>
    <w:proofErr w:type="spellEnd"/>
    <w:r w:rsidR="00DF2F2A" w:rsidRPr="00DF2F2A">
      <w:rPr>
        <w:rFonts w:ascii="Corbel" w:hAnsi="Corbel" w:cs="Calibri Light"/>
        <w:sz w:val="18"/>
        <w:szCs w:val="18"/>
      </w:rPr>
      <w:t xml:space="preserve"> Entrance, Building B, 10</w:t>
    </w:r>
    <w:r w:rsidR="00DF2F2A" w:rsidRPr="00DF2F2A">
      <w:rPr>
        <w:rFonts w:ascii="Corbel" w:hAnsi="Corbel" w:cs="Calibri Light"/>
        <w:sz w:val="18"/>
        <w:szCs w:val="18"/>
        <w:vertAlign w:val="superscript"/>
      </w:rPr>
      <w:t>th</w:t>
    </w:r>
    <w:r w:rsidR="00DF2F2A" w:rsidRPr="00DF2F2A">
      <w:rPr>
        <w:rFonts w:ascii="Corbel" w:hAnsi="Corbel" w:cs="Calibri Light"/>
        <w:sz w:val="18"/>
        <w:szCs w:val="18"/>
      </w:rPr>
      <w:t xml:space="preserve"> floor, District 4,</w:t>
    </w:r>
    <w:r w:rsidRPr="00FC4E5C">
      <w:rPr>
        <w:rFonts w:ascii="Corbel" w:hAnsi="Corbel" w:cs="Calibri Light"/>
        <w:sz w:val="18"/>
        <w:szCs w:val="18"/>
      </w:rPr>
      <w:t xml:space="preserve"> Romania</w:t>
    </w:r>
  </w:p>
  <w:p w14:paraId="757A2F6F" w14:textId="61DF0C8D" w:rsidR="004F5372" w:rsidRPr="00FC4E5C" w:rsidRDefault="004F5372" w:rsidP="00DF2F2A">
    <w:pPr>
      <w:pStyle w:val="Antet"/>
      <w:jc w:val="center"/>
      <w:rPr>
        <w:rFonts w:ascii="Corbel" w:hAnsi="Corbel" w:cs="Calibri Light"/>
        <w:sz w:val="18"/>
        <w:szCs w:val="18"/>
      </w:rPr>
    </w:pPr>
    <w:r w:rsidRPr="00FC4E5C">
      <w:rPr>
        <w:rFonts w:ascii="Corbel" w:hAnsi="Corbel" w:cs="Calibri Light"/>
        <w:sz w:val="18"/>
        <w:szCs w:val="18"/>
      </w:rPr>
      <w:t xml:space="preserve">Subscribed and paid-up share capital: </w:t>
    </w:r>
    <w:r w:rsidR="00DF2F2A" w:rsidRPr="00DF2F2A">
      <w:rPr>
        <w:rFonts w:ascii="Corbel" w:hAnsi="Corbel" w:cs="Calibri Light"/>
        <w:sz w:val="18"/>
        <w:szCs w:val="18"/>
      </w:rPr>
      <w:t>64,069,796</w:t>
    </w:r>
    <w:r w:rsidRPr="00FC4E5C">
      <w:rPr>
        <w:rFonts w:ascii="Corbel" w:hAnsi="Corbel" w:cs="Calibri Light"/>
        <w:sz w:val="18"/>
        <w:szCs w:val="18"/>
      </w:rPr>
      <w:t>RON</w:t>
    </w:r>
  </w:p>
  <w:p w14:paraId="6B7AB47A" w14:textId="77777777" w:rsidR="004F5372" w:rsidRPr="008B694C" w:rsidRDefault="00940D1E" w:rsidP="004F5372">
    <w:pPr>
      <w:pStyle w:val="Antet"/>
      <w:jc w:val="center"/>
      <w:rPr>
        <w:rFonts w:ascii="Corbel" w:hAnsi="Corbel" w:cs="Calibri Light"/>
        <w:sz w:val="18"/>
        <w:szCs w:val="18"/>
      </w:rPr>
    </w:pPr>
    <w:hyperlink r:id="rId1" w:history="1"/>
    <w:r w:rsidR="004F5372" w:rsidRPr="00FC4E5C">
      <w:rPr>
        <w:rFonts w:ascii="Corbel" w:hAnsi="Corbel" w:cs="Calibri Light"/>
        <w:sz w:val="18"/>
        <w:szCs w:val="18"/>
      </w:rPr>
      <w:t>www.holde.eu | contact@holde.eu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65F59" w14:textId="77777777" w:rsidR="001958F1" w:rsidRDefault="001958F1" w:rsidP="00D236DA">
      <w:pPr>
        <w:spacing w:after="0" w:line="240" w:lineRule="auto"/>
      </w:pPr>
      <w:r>
        <w:separator/>
      </w:r>
    </w:p>
  </w:footnote>
  <w:footnote w:type="continuationSeparator" w:id="0">
    <w:p w14:paraId="2F5C00C0" w14:textId="77777777" w:rsidR="001958F1" w:rsidRDefault="001958F1" w:rsidP="00D2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F53A" w14:textId="77777777" w:rsidR="00192230" w:rsidRPr="009C7A71" w:rsidRDefault="00192230" w:rsidP="009C7A71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C74B2" w14:textId="4A6D1466" w:rsidR="004F5372" w:rsidRDefault="00B32046" w:rsidP="00B32046">
    <w:pPr>
      <w:pStyle w:val="Antet"/>
      <w:tabs>
        <w:tab w:val="left" w:pos="7976"/>
      </w:tabs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ab/>
    </w:r>
    <w:r>
      <w:rPr>
        <w:rFonts w:asciiTheme="majorHAnsi" w:hAnsiTheme="majorHAnsi" w:cstheme="majorHAnsi"/>
        <w:sz w:val="20"/>
        <w:szCs w:val="20"/>
        <w:lang w:val="pl-PL"/>
      </w:rPr>
      <w:tab/>
    </w:r>
    <w:r>
      <w:rPr>
        <w:rFonts w:asciiTheme="majorHAnsi" w:hAnsiTheme="majorHAnsi" w:cstheme="majorHAnsi"/>
        <w:sz w:val="20"/>
        <w:szCs w:val="20"/>
        <w:lang w:val="pl-PL"/>
      </w:rPr>
      <w:tab/>
    </w:r>
    <w:r w:rsidR="004F5372">
      <w:rPr>
        <w:rFonts w:ascii="Verdana" w:hAnsi="Verdana"/>
        <w:b/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61D9422A" wp14:editId="66CC2AB5">
          <wp:simplePos x="0" y="0"/>
          <wp:positionH relativeFrom="margin">
            <wp:posOffset>3879668</wp:posOffset>
          </wp:positionH>
          <wp:positionV relativeFrom="paragraph">
            <wp:posOffset>-118201</wp:posOffset>
          </wp:positionV>
          <wp:extent cx="2114550" cy="750570"/>
          <wp:effectExtent l="0" t="0" r="6350" b="0"/>
          <wp:wrapNone/>
          <wp:docPr id="2" name="Picture 2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1" descr="A drawing of a 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590A7" w14:textId="77777777" w:rsidR="004F5372" w:rsidRDefault="004F5372" w:rsidP="004F5372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14:paraId="7D6B3526" w14:textId="77777777" w:rsidR="004F5372" w:rsidRDefault="004F5372" w:rsidP="004F5372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14:paraId="031BA56C" w14:textId="057479C7" w:rsidR="004F5372" w:rsidRDefault="004F537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27F"/>
    <w:multiLevelType w:val="hybridMultilevel"/>
    <w:tmpl w:val="BE3477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A0C"/>
    <w:multiLevelType w:val="hybridMultilevel"/>
    <w:tmpl w:val="32B6E68A"/>
    <w:lvl w:ilvl="0" w:tplc="F9EECD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C5394"/>
    <w:multiLevelType w:val="hybridMultilevel"/>
    <w:tmpl w:val="CC4E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46A2"/>
    <w:multiLevelType w:val="hybridMultilevel"/>
    <w:tmpl w:val="5654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C42F2"/>
    <w:multiLevelType w:val="hybridMultilevel"/>
    <w:tmpl w:val="C240A1E2"/>
    <w:lvl w:ilvl="0" w:tplc="D33C47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18BF"/>
    <w:multiLevelType w:val="hybridMultilevel"/>
    <w:tmpl w:val="C3563CD4"/>
    <w:lvl w:ilvl="0" w:tplc="2454F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0A69"/>
    <w:multiLevelType w:val="hybridMultilevel"/>
    <w:tmpl w:val="7B8E8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7369"/>
    <w:multiLevelType w:val="hybridMultilevel"/>
    <w:tmpl w:val="E318AC08"/>
    <w:lvl w:ilvl="0" w:tplc="D3282496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3EA1DE6"/>
    <w:multiLevelType w:val="hybridMultilevel"/>
    <w:tmpl w:val="223476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B6F9B"/>
    <w:multiLevelType w:val="hybridMultilevel"/>
    <w:tmpl w:val="2346B4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7EC6"/>
    <w:multiLevelType w:val="hybridMultilevel"/>
    <w:tmpl w:val="32B6E68A"/>
    <w:lvl w:ilvl="0" w:tplc="F9EECD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46B68"/>
    <w:multiLevelType w:val="hybridMultilevel"/>
    <w:tmpl w:val="572205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B1"/>
    <w:rsid w:val="00010B60"/>
    <w:rsid w:val="00023885"/>
    <w:rsid w:val="00024883"/>
    <w:rsid w:val="00025C3E"/>
    <w:rsid w:val="0003619C"/>
    <w:rsid w:val="000418B7"/>
    <w:rsid w:val="00042E80"/>
    <w:rsid w:val="00054C64"/>
    <w:rsid w:val="00055E45"/>
    <w:rsid w:val="000867D8"/>
    <w:rsid w:val="00087ED9"/>
    <w:rsid w:val="000A0C75"/>
    <w:rsid w:val="000B17B8"/>
    <w:rsid w:val="000B1FA3"/>
    <w:rsid w:val="000B2B0A"/>
    <w:rsid w:val="000B7D50"/>
    <w:rsid w:val="000D4922"/>
    <w:rsid w:val="000D5B6E"/>
    <w:rsid w:val="000E5580"/>
    <w:rsid w:val="001035B3"/>
    <w:rsid w:val="00103DD4"/>
    <w:rsid w:val="00106668"/>
    <w:rsid w:val="00113D07"/>
    <w:rsid w:val="00116CD9"/>
    <w:rsid w:val="00125CC5"/>
    <w:rsid w:val="001545B9"/>
    <w:rsid w:val="00154CD1"/>
    <w:rsid w:val="00156AAA"/>
    <w:rsid w:val="001605C2"/>
    <w:rsid w:val="00165ECF"/>
    <w:rsid w:val="00175ECF"/>
    <w:rsid w:val="00186237"/>
    <w:rsid w:val="00192230"/>
    <w:rsid w:val="001958F1"/>
    <w:rsid w:val="001B0DD4"/>
    <w:rsid w:val="001B352E"/>
    <w:rsid w:val="001B7459"/>
    <w:rsid w:val="001C155F"/>
    <w:rsid w:val="001C4F38"/>
    <w:rsid w:val="001C6A4B"/>
    <w:rsid w:val="001E6557"/>
    <w:rsid w:val="001E7DB0"/>
    <w:rsid w:val="002253CF"/>
    <w:rsid w:val="00230753"/>
    <w:rsid w:val="002336BC"/>
    <w:rsid w:val="00235B27"/>
    <w:rsid w:val="00255FCC"/>
    <w:rsid w:val="00262B58"/>
    <w:rsid w:val="002810DB"/>
    <w:rsid w:val="002900E0"/>
    <w:rsid w:val="002942F9"/>
    <w:rsid w:val="002973D7"/>
    <w:rsid w:val="002A1E34"/>
    <w:rsid w:val="002C765F"/>
    <w:rsid w:val="002D66BB"/>
    <w:rsid w:val="002E06B4"/>
    <w:rsid w:val="0031114A"/>
    <w:rsid w:val="003137AC"/>
    <w:rsid w:val="0031649D"/>
    <w:rsid w:val="003317CB"/>
    <w:rsid w:val="003347F1"/>
    <w:rsid w:val="00335EB3"/>
    <w:rsid w:val="00353C47"/>
    <w:rsid w:val="00365CAA"/>
    <w:rsid w:val="00380F53"/>
    <w:rsid w:val="00385039"/>
    <w:rsid w:val="00393714"/>
    <w:rsid w:val="003A39A7"/>
    <w:rsid w:val="003C47B1"/>
    <w:rsid w:val="003F0CFE"/>
    <w:rsid w:val="00423622"/>
    <w:rsid w:val="004270FC"/>
    <w:rsid w:val="00430293"/>
    <w:rsid w:val="004578E9"/>
    <w:rsid w:val="00462219"/>
    <w:rsid w:val="004707F6"/>
    <w:rsid w:val="0047626F"/>
    <w:rsid w:val="004845DA"/>
    <w:rsid w:val="00497901"/>
    <w:rsid w:val="004E26AF"/>
    <w:rsid w:val="004F5372"/>
    <w:rsid w:val="00511157"/>
    <w:rsid w:val="00521E20"/>
    <w:rsid w:val="00524A69"/>
    <w:rsid w:val="00525E98"/>
    <w:rsid w:val="00530BB1"/>
    <w:rsid w:val="0054149E"/>
    <w:rsid w:val="00541681"/>
    <w:rsid w:val="005451CC"/>
    <w:rsid w:val="00545696"/>
    <w:rsid w:val="00546208"/>
    <w:rsid w:val="005464BA"/>
    <w:rsid w:val="0055023F"/>
    <w:rsid w:val="00554233"/>
    <w:rsid w:val="005614D4"/>
    <w:rsid w:val="00566C0A"/>
    <w:rsid w:val="00571D07"/>
    <w:rsid w:val="005732DE"/>
    <w:rsid w:val="00576CAF"/>
    <w:rsid w:val="00594488"/>
    <w:rsid w:val="005A31C5"/>
    <w:rsid w:val="005A645D"/>
    <w:rsid w:val="005C230A"/>
    <w:rsid w:val="005D11FE"/>
    <w:rsid w:val="005D657D"/>
    <w:rsid w:val="005F1AE8"/>
    <w:rsid w:val="00612DB2"/>
    <w:rsid w:val="00623403"/>
    <w:rsid w:val="00633F91"/>
    <w:rsid w:val="006429AB"/>
    <w:rsid w:val="00657BBD"/>
    <w:rsid w:val="00660986"/>
    <w:rsid w:val="00663204"/>
    <w:rsid w:val="00665BD1"/>
    <w:rsid w:val="006673DD"/>
    <w:rsid w:val="006853C0"/>
    <w:rsid w:val="006A4EAD"/>
    <w:rsid w:val="006E4F7B"/>
    <w:rsid w:val="006F1AE1"/>
    <w:rsid w:val="006F66B2"/>
    <w:rsid w:val="00701C0E"/>
    <w:rsid w:val="007025F3"/>
    <w:rsid w:val="00705876"/>
    <w:rsid w:val="00705A18"/>
    <w:rsid w:val="0071309B"/>
    <w:rsid w:val="0071610C"/>
    <w:rsid w:val="007243EE"/>
    <w:rsid w:val="00725D6E"/>
    <w:rsid w:val="007464E4"/>
    <w:rsid w:val="0076111E"/>
    <w:rsid w:val="00787129"/>
    <w:rsid w:val="007A292D"/>
    <w:rsid w:val="007B4B95"/>
    <w:rsid w:val="007C3D37"/>
    <w:rsid w:val="007C4307"/>
    <w:rsid w:val="007D5D19"/>
    <w:rsid w:val="007E343A"/>
    <w:rsid w:val="008010B9"/>
    <w:rsid w:val="00804163"/>
    <w:rsid w:val="008127CA"/>
    <w:rsid w:val="008176FF"/>
    <w:rsid w:val="00827310"/>
    <w:rsid w:val="00827634"/>
    <w:rsid w:val="00836B2D"/>
    <w:rsid w:val="00847FC2"/>
    <w:rsid w:val="0085103F"/>
    <w:rsid w:val="00852A08"/>
    <w:rsid w:val="00855C18"/>
    <w:rsid w:val="00871709"/>
    <w:rsid w:val="00874116"/>
    <w:rsid w:val="008741D7"/>
    <w:rsid w:val="008773A5"/>
    <w:rsid w:val="00883FCA"/>
    <w:rsid w:val="00891A2D"/>
    <w:rsid w:val="008A7929"/>
    <w:rsid w:val="008C0665"/>
    <w:rsid w:val="008D203E"/>
    <w:rsid w:val="008D3A23"/>
    <w:rsid w:val="008D54B2"/>
    <w:rsid w:val="00915B56"/>
    <w:rsid w:val="00917E2E"/>
    <w:rsid w:val="00923E32"/>
    <w:rsid w:val="0092545F"/>
    <w:rsid w:val="0093166E"/>
    <w:rsid w:val="00940D1E"/>
    <w:rsid w:val="0095615F"/>
    <w:rsid w:val="009729E6"/>
    <w:rsid w:val="00977CB4"/>
    <w:rsid w:val="00977D32"/>
    <w:rsid w:val="00990D16"/>
    <w:rsid w:val="00992E0D"/>
    <w:rsid w:val="009970DD"/>
    <w:rsid w:val="009A45FD"/>
    <w:rsid w:val="009B1672"/>
    <w:rsid w:val="009B4702"/>
    <w:rsid w:val="009C4A69"/>
    <w:rsid w:val="009C7A71"/>
    <w:rsid w:val="009F3A29"/>
    <w:rsid w:val="009F5CC5"/>
    <w:rsid w:val="009F69B2"/>
    <w:rsid w:val="00A02B78"/>
    <w:rsid w:val="00A038BC"/>
    <w:rsid w:val="00A0769F"/>
    <w:rsid w:val="00A11540"/>
    <w:rsid w:val="00A11E52"/>
    <w:rsid w:val="00A121AD"/>
    <w:rsid w:val="00A21F06"/>
    <w:rsid w:val="00A245C2"/>
    <w:rsid w:val="00A31D3C"/>
    <w:rsid w:val="00A3474B"/>
    <w:rsid w:val="00A3755E"/>
    <w:rsid w:val="00A37D73"/>
    <w:rsid w:val="00A429B9"/>
    <w:rsid w:val="00A70345"/>
    <w:rsid w:val="00AA29B0"/>
    <w:rsid w:val="00AA4D22"/>
    <w:rsid w:val="00AA6F56"/>
    <w:rsid w:val="00AC016C"/>
    <w:rsid w:val="00AC0E59"/>
    <w:rsid w:val="00AC134C"/>
    <w:rsid w:val="00AC74D5"/>
    <w:rsid w:val="00AE0ED3"/>
    <w:rsid w:val="00AF02A4"/>
    <w:rsid w:val="00B32046"/>
    <w:rsid w:val="00B43246"/>
    <w:rsid w:val="00B50B69"/>
    <w:rsid w:val="00B522E0"/>
    <w:rsid w:val="00B52BC7"/>
    <w:rsid w:val="00B56E83"/>
    <w:rsid w:val="00B6651D"/>
    <w:rsid w:val="00B753F5"/>
    <w:rsid w:val="00B9211B"/>
    <w:rsid w:val="00BB0AF2"/>
    <w:rsid w:val="00BC692E"/>
    <w:rsid w:val="00BD12DE"/>
    <w:rsid w:val="00C03348"/>
    <w:rsid w:val="00C21DD9"/>
    <w:rsid w:val="00C26A70"/>
    <w:rsid w:val="00C36E7C"/>
    <w:rsid w:val="00C568BF"/>
    <w:rsid w:val="00C65257"/>
    <w:rsid w:val="00C65A47"/>
    <w:rsid w:val="00C7669A"/>
    <w:rsid w:val="00C92A58"/>
    <w:rsid w:val="00C9328B"/>
    <w:rsid w:val="00CA381E"/>
    <w:rsid w:val="00CA4BE5"/>
    <w:rsid w:val="00CB32AD"/>
    <w:rsid w:val="00CB4109"/>
    <w:rsid w:val="00CE1DF3"/>
    <w:rsid w:val="00CE4103"/>
    <w:rsid w:val="00CF624C"/>
    <w:rsid w:val="00CF78B2"/>
    <w:rsid w:val="00D02ADB"/>
    <w:rsid w:val="00D030F1"/>
    <w:rsid w:val="00D03994"/>
    <w:rsid w:val="00D04FFA"/>
    <w:rsid w:val="00D10847"/>
    <w:rsid w:val="00D1085F"/>
    <w:rsid w:val="00D17253"/>
    <w:rsid w:val="00D236DA"/>
    <w:rsid w:val="00D30E08"/>
    <w:rsid w:val="00D4018B"/>
    <w:rsid w:val="00D538A1"/>
    <w:rsid w:val="00D560EE"/>
    <w:rsid w:val="00D6395D"/>
    <w:rsid w:val="00D93736"/>
    <w:rsid w:val="00D96B9F"/>
    <w:rsid w:val="00DA04CA"/>
    <w:rsid w:val="00DB7348"/>
    <w:rsid w:val="00DC24EB"/>
    <w:rsid w:val="00DC5F9A"/>
    <w:rsid w:val="00DC7B35"/>
    <w:rsid w:val="00DD2731"/>
    <w:rsid w:val="00DE001D"/>
    <w:rsid w:val="00DE2E3F"/>
    <w:rsid w:val="00DE47BC"/>
    <w:rsid w:val="00DF2D1C"/>
    <w:rsid w:val="00DF2F2A"/>
    <w:rsid w:val="00E00863"/>
    <w:rsid w:val="00E04941"/>
    <w:rsid w:val="00E155DD"/>
    <w:rsid w:val="00E30F9E"/>
    <w:rsid w:val="00E35482"/>
    <w:rsid w:val="00E4541F"/>
    <w:rsid w:val="00E54CD6"/>
    <w:rsid w:val="00E751DA"/>
    <w:rsid w:val="00E83FF8"/>
    <w:rsid w:val="00E93D99"/>
    <w:rsid w:val="00E979B2"/>
    <w:rsid w:val="00EB10BF"/>
    <w:rsid w:val="00EB2711"/>
    <w:rsid w:val="00EB48A0"/>
    <w:rsid w:val="00EB7825"/>
    <w:rsid w:val="00EC0CFE"/>
    <w:rsid w:val="00EC3CEA"/>
    <w:rsid w:val="00ED3479"/>
    <w:rsid w:val="00ED63CC"/>
    <w:rsid w:val="00EE474B"/>
    <w:rsid w:val="00EF1CDA"/>
    <w:rsid w:val="00EF3D73"/>
    <w:rsid w:val="00EF587F"/>
    <w:rsid w:val="00F20169"/>
    <w:rsid w:val="00F21672"/>
    <w:rsid w:val="00F2784B"/>
    <w:rsid w:val="00F351C5"/>
    <w:rsid w:val="00F47F93"/>
    <w:rsid w:val="00F54E78"/>
    <w:rsid w:val="00F60C9D"/>
    <w:rsid w:val="00F60FD7"/>
    <w:rsid w:val="00F61B22"/>
    <w:rsid w:val="00F62A32"/>
    <w:rsid w:val="00F824DD"/>
    <w:rsid w:val="00F906AE"/>
    <w:rsid w:val="00F90D47"/>
    <w:rsid w:val="00F96016"/>
    <w:rsid w:val="00FA484B"/>
    <w:rsid w:val="00FB2026"/>
    <w:rsid w:val="00FC2704"/>
    <w:rsid w:val="00FC4E5C"/>
    <w:rsid w:val="00FE420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55CADD"/>
  <w15:chartTrackingRefBased/>
  <w15:docId w15:val="{D1ECF6CD-6EF1-48E8-8FB7-8191A8F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B1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link w:val="Titlu1Caracter"/>
    <w:uiPriority w:val="9"/>
    <w:qFormat/>
    <w:rsid w:val="00A4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23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A6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9328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CD1"/>
    <w:rPr>
      <w:rFonts w:ascii="Segoe U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D2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236DA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2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236DA"/>
    <w:rPr>
      <w:lang w:val="en-US"/>
    </w:rPr>
  </w:style>
  <w:style w:type="table" w:styleId="Tabelgril">
    <w:name w:val="Table Grid"/>
    <w:basedOn w:val="TabelNormal"/>
    <w:uiPriority w:val="39"/>
    <w:rsid w:val="00AA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9C7A71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9C7A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A429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odoctxt">
    <w:name w:val="aodoctxt"/>
    <w:basedOn w:val="Normal"/>
    <w:rsid w:val="00A4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ontdeparagrafimplicit"/>
    <w:rsid w:val="00A429B9"/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5464BA"/>
    <w:rPr>
      <w:color w:val="605E5C"/>
      <w:shd w:val="clear" w:color="auto" w:fill="E1DFDD"/>
    </w:rPr>
  </w:style>
  <w:style w:type="paragraph" w:customStyle="1" w:styleId="Body">
    <w:name w:val="Body"/>
    <w:rsid w:val="004979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Fontdeparagrafimplicit"/>
    <w:rsid w:val="00A31D3C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0238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530BB1"/>
    <w:rPr>
      <w:color w:val="605E5C"/>
      <w:shd w:val="clear" w:color="auto" w:fill="E1DFDD"/>
    </w:rPr>
  </w:style>
  <w:style w:type="paragraph" w:customStyle="1" w:styleId="ct">
    <w:name w:val="ct"/>
    <w:basedOn w:val="Normal"/>
    <w:rsid w:val="009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">
    <w:name w:val="ci"/>
    <w:basedOn w:val="Fontdeparagrafimplicit"/>
    <w:rsid w:val="009729E6"/>
  </w:style>
  <w:style w:type="character" w:styleId="Referincomentariu">
    <w:name w:val="annotation reference"/>
    <w:basedOn w:val="Fontdeparagrafimplicit"/>
    <w:uiPriority w:val="99"/>
    <w:semiHidden/>
    <w:unhideWhenUsed/>
    <w:rsid w:val="009729E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729E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729E6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729E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729E6"/>
    <w:rPr>
      <w:b/>
      <w:bCs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A64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33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3317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Fontdeparagrafimplicit"/>
    <w:rsid w:val="0033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ofert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B689-6647-405B-8BB3-2F354509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and Company</dc:creator>
  <cp:keywords/>
  <dc:description/>
  <cp:lastModifiedBy>Boanta, Gidei si Asociatii</cp:lastModifiedBy>
  <cp:revision>15</cp:revision>
  <cp:lastPrinted>2021-03-26T13:47:00Z</cp:lastPrinted>
  <dcterms:created xsi:type="dcterms:W3CDTF">2021-10-18T14:54:00Z</dcterms:created>
  <dcterms:modified xsi:type="dcterms:W3CDTF">2021-10-21T12:10:00Z</dcterms:modified>
</cp:coreProperties>
</file>