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360" w:lineRule="auto"/>
        <w:jc w:val="center"/>
        <w:rPr>
          <w:b w:val="1"/>
          <w:bCs w:val="1"/>
        </w:rPr>
      </w:pPr>
      <w:r>
        <w:rPr>
          <w:b w:val="1"/>
          <w:bCs w:val="1"/>
          <w:rtl w:val="0"/>
          <w:lang w:val="en-US"/>
        </w:rPr>
        <w:t>PROCURA SPECIALA</w:t>
      </w:r>
    </w:p>
    <w:p>
      <w:pPr>
        <w:pStyle w:val="Body"/>
        <w:spacing w:after="0" w:line="360" w:lineRule="auto"/>
        <w:jc w:val="both"/>
      </w:pPr>
    </w:p>
    <w:p>
      <w:pPr>
        <w:pStyle w:val="Body"/>
        <w:spacing w:after="0" w:line="360" w:lineRule="auto"/>
        <w:jc w:val="both"/>
      </w:pPr>
      <w:r>
        <w:rPr>
          <w:rtl w:val="0"/>
        </w:rPr>
        <w:t>Subscrisa ................................., persoana juridica romana, cu sediul social in  .................................................................................., inregistrata la Oficiul Registrului Comertului sub nr. ......................................., CUI ......................, reprezentata legal de ..........................., in calitate de ................................, in calitate de actionar al societatii Holde Agri Invest SA, persoana juridica romana, inregistrata la Registrul Comertului sub nr. J40/9208/28.06.2018, CUI 39549730, cu sediul in Mun. Bucuresti, Sector 4, Splaiul Unirii nr. 16, Etaj 5, Camera 503, Biroul  1, detinatoare a unui numar de ............. actiuni  ordinare, nominative, dematerializate emise de Holde Agri Invest SA, care confera dreptul la un numar de ...........% din voturile in Adunarea Generala Extraordinara a Actionarilor societatii Holde Agri Invest SA, in baza actiunilor inregistrate in Registrul Actionarilor, prin prezentul act numesc si constitui ca imputernicit al meu special pentru cele de mai jos pe:</w:t>
      </w:r>
    </w:p>
    <w:p>
      <w:pPr>
        <w:pStyle w:val="Body"/>
        <w:spacing w:after="0" w:line="360" w:lineRule="auto"/>
        <w:ind w:firstLine="720"/>
        <w:jc w:val="both"/>
      </w:pPr>
      <w:r>
        <w:rPr>
          <w:rtl w:val="0"/>
        </w:rPr>
        <w:t>................................., cetatean roman, nascut la data de .........................., in localitatea ................., domiciliat in .............................................................................., identificata cu CI seria ...... numarul ................. eliberata de ............................... la data de ......................, valabila pana la data de ........................, CNP ...................................,</w:t>
      </w:r>
    </w:p>
    <w:p>
      <w:pPr>
        <w:pStyle w:val="Body"/>
        <w:spacing w:after="0" w:line="360" w:lineRule="auto"/>
        <w:ind w:firstLine="720"/>
        <w:jc w:val="both"/>
      </w:pPr>
      <w:r>
        <w:rPr>
          <w:rtl w:val="0"/>
        </w:rPr>
        <w:t>sa ne reprezinte in Adunarea Generala Extraordinara a Actionarilor Holde Agri Invest SA, care va avea loc in data de 1/2 septembrie 2020 in Bucuresti, Str. George Enescu nr. 11-13, Mansarda Casa, V7 Startup Studio, si sa-si exercite dreptul de vot aferent in numele subscrisei mandante, in calitate de actionar inregistrat in Registrul Actionarilor, astfel:</w:t>
      </w:r>
    </w:p>
    <w:p>
      <w:pPr>
        <w:pStyle w:val="Body"/>
        <w:spacing w:after="0" w:line="360" w:lineRule="auto"/>
        <w:ind w:firstLine="720"/>
        <w:jc w:val="both"/>
      </w:pPr>
    </w:p>
    <w:p>
      <w:pPr>
        <w:pStyle w:val="List Paragraph"/>
        <w:numPr>
          <w:ilvl w:val="0"/>
          <w:numId w:val="2"/>
        </w:numPr>
        <w:bidi w:val="0"/>
        <w:spacing w:after="0" w:line="360" w:lineRule="auto"/>
        <w:ind w:right="0"/>
        <w:jc w:val="both"/>
        <w:rPr>
          <w:rtl w:val="0"/>
          <w:lang w:val="en-US"/>
        </w:rPr>
      </w:pPr>
      <w:r>
        <w:rPr>
          <w:rtl w:val="0"/>
          <w:lang w:val="en-US"/>
        </w:rPr>
        <w:t xml:space="preserve">Pentru punctul 1 de pe ordinea de zi, respectiv </w:t>
      </w:r>
      <w:r>
        <w:rPr>
          <w:rtl w:val="0"/>
          <w:lang w:val="en-US"/>
        </w:rPr>
        <w:t>„</w:t>
      </w:r>
      <w:r>
        <w:rPr>
          <w:rFonts w:ascii="Arial" w:hAnsi="Arial"/>
          <w:i w:val="1"/>
          <w:iCs w:val="1"/>
          <w:sz w:val="20"/>
          <w:szCs w:val="20"/>
          <w:rtl w:val="0"/>
          <w:lang w:val="en-US"/>
        </w:rPr>
        <w:t>Aprobarea shimbarii sediului social din Bucuresti, Sector 4, Splaiul Unirii nr. 16, Etaj 5, Camera 503, Biroul  nr. 1, in Bucuresti, Sector 4, Splaiul Unirii nr. 16, Etaj 1, Camera 103, Biroul  nr. 3</w:t>
      </w:r>
      <w:r>
        <w:rPr>
          <w:rFonts w:ascii="Arial" w:hAnsi="Arial" w:hint="default"/>
          <w:sz w:val="20"/>
          <w:szCs w:val="20"/>
          <w:rtl w:val="0"/>
          <w:lang w:val="en-US"/>
        </w:rPr>
        <w:t>”</w:t>
      </w:r>
    </w:p>
    <w:tbl>
      <w:tblPr>
        <w:tblW w:w="8900" w:type="dxa"/>
        <w:jc w:val="left"/>
        <w:tblInd w:w="55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55"/>
        <w:gridCol w:w="2978"/>
        <w:gridCol w:w="2967"/>
      </w:tblGrid>
      <w:tr>
        <w:tblPrEx>
          <w:shd w:val="clear" w:color="auto" w:fill="d0ddef"/>
        </w:tblPrEx>
        <w:trPr>
          <w:trHeight w:val="221" w:hRule="atLeast"/>
        </w:trPr>
        <w:tc>
          <w:tcPr>
            <w:tcW w:type="dxa" w:w="2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360" w:lineRule="auto"/>
              <w:ind w:left="0" w:firstLine="0"/>
              <w:jc w:val="both"/>
            </w:pPr>
            <w:r>
              <w:rPr>
                <w:shd w:val="nil" w:color="auto" w:fill="auto"/>
                <w:rtl w:val="0"/>
                <w:lang w:val="de-DE"/>
              </w:rPr>
              <w:t>PENTRU</w:t>
            </w: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360" w:lineRule="auto"/>
              <w:ind w:left="0" w:firstLine="0"/>
              <w:jc w:val="both"/>
            </w:pPr>
            <w:r>
              <w:rPr>
                <w:shd w:val="nil" w:color="auto" w:fill="auto"/>
                <w:rtl w:val="0"/>
                <w:lang w:val="it-IT"/>
              </w:rPr>
              <w:t xml:space="preserve">IMPOTRIVA </w:t>
            </w:r>
          </w:p>
        </w:tc>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360" w:lineRule="auto"/>
              <w:ind w:left="0" w:firstLine="0"/>
              <w:jc w:val="both"/>
            </w:pPr>
            <w:r>
              <w:rPr>
                <w:shd w:val="nil" w:color="auto" w:fill="auto"/>
                <w:rtl w:val="0"/>
                <w:lang w:val="de-DE"/>
              </w:rPr>
              <w:t>ABTINERE</w:t>
            </w:r>
          </w:p>
        </w:tc>
      </w:tr>
      <w:tr>
        <w:tblPrEx>
          <w:shd w:val="clear" w:color="auto" w:fill="d0ddef"/>
        </w:tblPrEx>
        <w:trPr>
          <w:trHeight w:val="221" w:hRule="atLeast"/>
        </w:trPr>
        <w:tc>
          <w:tcPr>
            <w:tcW w:type="dxa" w:w="2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List Paragraph"/>
        <w:widowControl w:val="0"/>
        <w:numPr>
          <w:ilvl w:val="0"/>
          <w:numId w:val="3"/>
        </w:numPr>
        <w:spacing w:after="0" w:line="240" w:lineRule="auto"/>
        <w:jc w:val="both"/>
      </w:pPr>
    </w:p>
    <w:p>
      <w:pPr>
        <w:pStyle w:val="List Paragraph"/>
        <w:spacing w:after="0" w:line="360" w:lineRule="auto"/>
        <w:ind w:left="450" w:firstLine="0"/>
        <w:jc w:val="both"/>
      </w:pPr>
    </w:p>
    <w:p>
      <w:pPr>
        <w:pStyle w:val="List Paragraph"/>
        <w:numPr>
          <w:ilvl w:val="0"/>
          <w:numId w:val="4"/>
        </w:numPr>
        <w:bidi w:val="0"/>
        <w:spacing w:after="0" w:line="360" w:lineRule="auto"/>
        <w:ind w:right="0"/>
        <w:jc w:val="both"/>
        <w:rPr>
          <w:rtl w:val="0"/>
          <w:lang w:val="en-US"/>
        </w:rPr>
      </w:pPr>
      <w:r>
        <w:rPr>
          <w:rtl w:val="0"/>
          <w:lang w:val="en-US"/>
        </w:rPr>
        <w:t xml:space="preserve">Pentru punctul 2 de pe ordinea de zi, respectiv </w:t>
      </w:r>
      <w:r>
        <w:rPr>
          <w:rtl w:val="0"/>
          <w:lang w:val="en-US"/>
        </w:rPr>
        <w:t>„</w:t>
      </w:r>
      <w:r>
        <w:rPr>
          <w:rFonts w:ascii="Arial" w:hAnsi="Arial"/>
          <w:i w:val="1"/>
          <w:iCs w:val="1"/>
          <w:sz w:val="20"/>
          <w:szCs w:val="20"/>
          <w:rtl w:val="0"/>
          <w:lang w:val="en-US"/>
        </w:rPr>
        <w:t>Aprobarea modificarii Actului Constitutiv al Societatii ca urmare a aprobarii schimbarii sediului social</w:t>
      </w:r>
      <w:r>
        <w:rPr>
          <w:rFonts w:ascii="Arial" w:hAnsi="Arial" w:hint="default"/>
          <w:sz w:val="20"/>
          <w:szCs w:val="20"/>
          <w:rtl w:val="0"/>
          <w:lang w:val="en-US"/>
        </w:rPr>
        <w:t>”</w:t>
      </w:r>
    </w:p>
    <w:tbl>
      <w:tblPr>
        <w:tblW w:w="8900" w:type="dxa"/>
        <w:jc w:val="left"/>
        <w:tblInd w:w="55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55"/>
        <w:gridCol w:w="2978"/>
        <w:gridCol w:w="2967"/>
      </w:tblGrid>
      <w:tr>
        <w:tblPrEx>
          <w:shd w:val="clear" w:color="auto" w:fill="d0ddef"/>
        </w:tblPrEx>
        <w:trPr>
          <w:trHeight w:val="221" w:hRule="atLeast"/>
        </w:trPr>
        <w:tc>
          <w:tcPr>
            <w:tcW w:type="dxa" w:w="2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360" w:lineRule="auto"/>
              <w:ind w:left="0" w:firstLine="0"/>
              <w:jc w:val="both"/>
            </w:pPr>
            <w:r>
              <w:rPr>
                <w:shd w:val="nil" w:color="auto" w:fill="auto"/>
                <w:rtl w:val="0"/>
                <w:lang w:val="de-DE"/>
              </w:rPr>
              <w:t>PENTRU</w:t>
            </w: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360" w:lineRule="auto"/>
              <w:ind w:left="0" w:firstLine="0"/>
              <w:jc w:val="both"/>
            </w:pPr>
            <w:r>
              <w:rPr>
                <w:shd w:val="nil" w:color="auto" w:fill="auto"/>
                <w:rtl w:val="0"/>
                <w:lang w:val="it-IT"/>
              </w:rPr>
              <w:t xml:space="preserve">IMPOTRIVA </w:t>
            </w:r>
          </w:p>
        </w:tc>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360" w:lineRule="auto"/>
              <w:ind w:left="0" w:firstLine="0"/>
              <w:jc w:val="both"/>
            </w:pPr>
            <w:r>
              <w:rPr>
                <w:shd w:val="nil" w:color="auto" w:fill="auto"/>
                <w:rtl w:val="0"/>
                <w:lang w:val="de-DE"/>
              </w:rPr>
              <w:t>ABTINERE</w:t>
            </w:r>
          </w:p>
        </w:tc>
      </w:tr>
      <w:tr>
        <w:tblPrEx>
          <w:shd w:val="clear" w:color="auto" w:fill="d0ddef"/>
        </w:tblPrEx>
        <w:trPr>
          <w:trHeight w:val="221" w:hRule="atLeast"/>
        </w:trPr>
        <w:tc>
          <w:tcPr>
            <w:tcW w:type="dxa" w:w="2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List Paragraph"/>
        <w:widowControl w:val="0"/>
        <w:numPr>
          <w:ilvl w:val="0"/>
          <w:numId w:val="3"/>
        </w:numPr>
        <w:spacing w:after="0" w:line="240" w:lineRule="auto"/>
        <w:jc w:val="both"/>
      </w:pPr>
    </w:p>
    <w:p>
      <w:pPr>
        <w:pStyle w:val="List Paragraph"/>
        <w:spacing w:after="0" w:line="360" w:lineRule="auto"/>
        <w:ind w:left="450" w:firstLine="0"/>
        <w:jc w:val="both"/>
      </w:pPr>
    </w:p>
    <w:p>
      <w:pPr>
        <w:pStyle w:val="List Paragraph"/>
        <w:numPr>
          <w:ilvl w:val="0"/>
          <w:numId w:val="5"/>
        </w:numPr>
        <w:bidi w:val="0"/>
        <w:spacing w:after="0" w:line="360" w:lineRule="auto"/>
        <w:ind w:right="0"/>
        <w:jc w:val="both"/>
        <w:rPr>
          <w:i w:val="1"/>
          <w:iCs w:val="1"/>
          <w:rtl w:val="0"/>
          <w:lang w:val="en-US"/>
        </w:rPr>
      </w:pPr>
      <w:r>
        <w:rPr>
          <w:i w:val="0"/>
          <w:iCs w:val="0"/>
          <w:rtl w:val="0"/>
          <w:lang w:val="en-US"/>
        </w:rPr>
        <w:t xml:space="preserve">Pentru punctul 3 de pe ordinea de zi, respectiv </w:t>
      </w:r>
      <w:r>
        <w:rPr>
          <w:i w:val="0"/>
          <w:iCs w:val="0"/>
          <w:rtl w:val="0"/>
          <w:lang w:val="en-US"/>
        </w:rPr>
        <w:t xml:space="preserve">” </w:t>
      </w:r>
      <w:r>
        <w:rPr>
          <w:rFonts w:ascii="Arial" w:hAnsi="Arial"/>
          <w:i w:val="1"/>
          <w:iCs w:val="1"/>
          <w:sz w:val="20"/>
          <w:szCs w:val="20"/>
          <w:rtl w:val="0"/>
          <w:lang w:val="en-US"/>
        </w:rPr>
        <w:t>Mandatarea Administratorului Unic al Societatii in vederea aprobarii schimbarii sediului social al Societatii si modificarea in mod corespunzator a Actului Constitutiv prin adaugarea unor doua noi articole:</w:t>
      </w:r>
    </w:p>
    <w:p>
      <w:pPr>
        <w:pStyle w:val="List Paragraph"/>
        <w:spacing w:after="0" w:line="360" w:lineRule="auto"/>
        <w:ind w:left="450" w:firstLine="270"/>
        <w:jc w:val="both"/>
        <w:rPr>
          <w:rFonts w:ascii="Arial" w:cs="Arial" w:hAnsi="Arial" w:eastAsia="Arial"/>
          <w:i w:val="1"/>
          <w:iCs w:val="1"/>
          <w:sz w:val="20"/>
          <w:szCs w:val="20"/>
        </w:rPr>
      </w:pPr>
      <w:r>
        <w:rPr>
          <w:rFonts w:ascii="Arial" w:hAnsi="Arial"/>
          <w:i w:val="1"/>
          <w:iCs w:val="1"/>
          <w:sz w:val="20"/>
          <w:szCs w:val="20"/>
          <w:rtl w:val="0"/>
          <w:lang w:val="en-US"/>
        </w:rPr>
        <w:t>a.</w:t>
        <w:tab/>
        <w:t>La art. 7 se adauga pct. 7.8 dupa cum urmeaza:</w:t>
      </w:r>
    </w:p>
    <w:p>
      <w:pPr>
        <w:pStyle w:val="List Paragraph"/>
        <w:spacing w:after="0" w:line="360" w:lineRule="auto"/>
        <w:ind w:left="1440" w:firstLine="0"/>
        <w:jc w:val="both"/>
        <w:rPr>
          <w:rFonts w:ascii="Arial" w:cs="Arial" w:hAnsi="Arial" w:eastAsia="Arial"/>
          <w:i w:val="1"/>
          <w:iCs w:val="1"/>
          <w:sz w:val="20"/>
          <w:szCs w:val="20"/>
        </w:rPr>
      </w:pPr>
      <w:r>
        <w:rPr>
          <w:rFonts w:ascii="Arial" w:hAnsi="Arial" w:hint="default"/>
          <w:i w:val="1"/>
          <w:iCs w:val="1"/>
          <w:sz w:val="20"/>
          <w:szCs w:val="20"/>
          <w:rtl w:val="0"/>
          <w:lang w:val="en-US"/>
        </w:rPr>
        <w:t>„</w:t>
      </w:r>
      <w:r>
        <w:rPr>
          <w:rFonts w:ascii="Arial" w:hAnsi="Arial"/>
          <w:i w:val="1"/>
          <w:iCs w:val="1"/>
          <w:sz w:val="20"/>
          <w:szCs w:val="20"/>
          <w:rtl w:val="0"/>
          <w:lang w:val="en-US"/>
        </w:rPr>
        <w:t>7.8.</w:t>
        <w:tab/>
        <w:t>Adunarea Generala Extraordinara a Actionarilor deleaga Administratorului Unic atributiile cu privire la aprobarea schimbarii sediului social al Societatii.</w:t>
      </w:r>
      <w:r>
        <w:rPr>
          <w:rFonts w:ascii="Arial" w:hAnsi="Arial" w:hint="default"/>
          <w:i w:val="1"/>
          <w:iCs w:val="1"/>
          <w:sz w:val="20"/>
          <w:szCs w:val="20"/>
          <w:rtl w:val="0"/>
          <w:lang w:val="en-US"/>
        </w:rPr>
        <w:t>”</w:t>
      </w:r>
    </w:p>
    <w:p>
      <w:pPr>
        <w:pStyle w:val="List Paragraph"/>
        <w:spacing w:after="0" w:line="360" w:lineRule="auto"/>
        <w:ind w:left="450" w:firstLine="270"/>
        <w:jc w:val="both"/>
        <w:rPr>
          <w:rFonts w:ascii="Arial" w:cs="Arial" w:hAnsi="Arial" w:eastAsia="Arial"/>
          <w:i w:val="1"/>
          <w:iCs w:val="1"/>
          <w:sz w:val="20"/>
          <w:szCs w:val="20"/>
        </w:rPr>
      </w:pPr>
      <w:r>
        <w:rPr>
          <w:rFonts w:ascii="Arial" w:hAnsi="Arial"/>
          <w:i w:val="1"/>
          <w:iCs w:val="1"/>
          <w:sz w:val="20"/>
          <w:szCs w:val="20"/>
          <w:rtl w:val="0"/>
          <w:lang w:val="en-US"/>
        </w:rPr>
        <w:t>b.</w:t>
        <w:tab/>
        <w:t xml:space="preserve">La art. 6 </w:t>
      </w:r>
      <w:r>
        <w:rPr>
          <w:rFonts w:ascii="Arial" w:hAnsi="Arial" w:hint="default"/>
          <w:i w:val="1"/>
          <w:iCs w:val="1"/>
          <w:sz w:val="20"/>
          <w:szCs w:val="20"/>
          <w:rtl w:val="0"/>
          <w:lang w:val="en-US"/>
        </w:rPr>
        <w:t xml:space="preserve">– </w:t>
      </w:r>
      <w:r>
        <w:rPr>
          <w:rFonts w:ascii="Arial" w:hAnsi="Arial"/>
          <w:i w:val="1"/>
          <w:iCs w:val="1"/>
          <w:sz w:val="20"/>
          <w:szCs w:val="20"/>
          <w:rtl w:val="0"/>
          <w:lang w:val="en-US"/>
        </w:rPr>
        <w:t>Administratorul unic, pct. 6.5, se adauga pct. 6.5.15 dupa cum urmeaza:</w:t>
      </w:r>
    </w:p>
    <w:p>
      <w:pPr>
        <w:pStyle w:val="List Paragraph"/>
        <w:spacing w:after="0" w:line="360" w:lineRule="auto"/>
        <w:ind w:left="1440" w:firstLine="0"/>
        <w:jc w:val="both"/>
        <w:rPr>
          <w:i w:val="1"/>
          <w:iCs w:val="1"/>
        </w:rPr>
      </w:pPr>
      <w:r>
        <w:rPr>
          <w:rFonts w:ascii="Arial" w:hAnsi="Arial" w:hint="default"/>
          <w:i w:val="1"/>
          <w:iCs w:val="1"/>
          <w:sz w:val="20"/>
          <w:szCs w:val="20"/>
          <w:rtl w:val="0"/>
          <w:lang w:val="en-US"/>
        </w:rPr>
        <w:t>„</w:t>
      </w:r>
      <w:r>
        <w:rPr>
          <w:rFonts w:ascii="Arial" w:hAnsi="Arial"/>
          <w:i w:val="1"/>
          <w:iCs w:val="1"/>
          <w:sz w:val="20"/>
          <w:szCs w:val="20"/>
          <w:rtl w:val="0"/>
          <w:lang w:val="en-US"/>
        </w:rPr>
        <w:t>6.5.15 sa decida asupra problemelor delegate de Adunarea Generala Extraordinara a Actionarilor la art. 7.7, respectiv aprobarea schimbarii sediului social</w:t>
      </w:r>
      <w:r>
        <w:rPr>
          <w:rFonts w:ascii="Arial" w:hAnsi="Arial" w:hint="default"/>
          <w:i w:val="1"/>
          <w:iCs w:val="1"/>
          <w:sz w:val="20"/>
          <w:szCs w:val="20"/>
          <w:rtl w:val="0"/>
          <w:lang w:val="en-US"/>
        </w:rPr>
        <w:t>”</w:t>
      </w:r>
    </w:p>
    <w:tbl>
      <w:tblPr>
        <w:tblW w:w="8900" w:type="dxa"/>
        <w:jc w:val="left"/>
        <w:tblInd w:w="55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55"/>
        <w:gridCol w:w="2978"/>
        <w:gridCol w:w="2967"/>
      </w:tblGrid>
      <w:tr>
        <w:tblPrEx>
          <w:shd w:val="clear" w:color="auto" w:fill="d0ddef"/>
        </w:tblPrEx>
        <w:trPr>
          <w:trHeight w:val="221" w:hRule="atLeast"/>
        </w:trPr>
        <w:tc>
          <w:tcPr>
            <w:tcW w:type="dxa" w:w="2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360" w:lineRule="auto"/>
              <w:ind w:left="0" w:firstLine="0"/>
              <w:jc w:val="both"/>
            </w:pPr>
            <w:r>
              <w:rPr>
                <w:shd w:val="nil" w:color="auto" w:fill="auto"/>
                <w:rtl w:val="0"/>
                <w:lang w:val="de-DE"/>
              </w:rPr>
              <w:t>PENTRU</w:t>
            </w: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360" w:lineRule="auto"/>
              <w:ind w:left="0" w:firstLine="0"/>
              <w:jc w:val="both"/>
            </w:pPr>
            <w:r>
              <w:rPr>
                <w:shd w:val="nil" w:color="auto" w:fill="auto"/>
                <w:rtl w:val="0"/>
                <w:lang w:val="it-IT"/>
              </w:rPr>
              <w:t xml:space="preserve">IMPOTRIVA </w:t>
            </w:r>
          </w:p>
        </w:tc>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360" w:lineRule="auto"/>
              <w:ind w:left="0" w:firstLine="0"/>
              <w:jc w:val="both"/>
            </w:pPr>
            <w:r>
              <w:rPr>
                <w:shd w:val="nil" w:color="auto" w:fill="auto"/>
                <w:rtl w:val="0"/>
                <w:lang w:val="de-DE"/>
              </w:rPr>
              <w:t>ABTINERE</w:t>
            </w:r>
          </w:p>
        </w:tc>
      </w:tr>
      <w:tr>
        <w:tblPrEx>
          <w:shd w:val="clear" w:color="auto" w:fill="d0ddef"/>
        </w:tblPrEx>
        <w:trPr>
          <w:trHeight w:val="221" w:hRule="atLeast"/>
        </w:trPr>
        <w:tc>
          <w:tcPr>
            <w:tcW w:type="dxa" w:w="2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List Paragraph"/>
        <w:widowControl w:val="0"/>
        <w:spacing w:after="0" w:line="240" w:lineRule="auto"/>
        <w:ind w:left="450" w:hanging="450"/>
        <w:jc w:val="both"/>
        <w:rPr>
          <w:i w:val="1"/>
          <w:iCs w:val="1"/>
        </w:rPr>
      </w:pPr>
    </w:p>
    <w:p>
      <w:pPr>
        <w:pStyle w:val="List Paragraph"/>
        <w:spacing w:after="0" w:line="360" w:lineRule="auto"/>
        <w:ind w:left="450" w:firstLine="0"/>
        <w:jc w:val="both"/>
        <w:rPr>
          <w:i w:val="1"/>
          <w:iCs w:val="1"/>
        </w:rPr>
      </w:pPr>
    </w:p>
    <w:p>
      <w:pPr>
        <w:pStyle w:val="List Paragraph"/>
        <w:numPr>
          <w:ilvl w:val="0"/>
          <w:numId w:val="6"/>
        </w:numPr>
        <w:bidi w:val="0"/>
        <w:spacing w:after="0" w:line="360" w:lineRule="auto"/>
        <w:ind w:right="0"/>
        <w:jc w:val="both"/>
        <w:rPr>
          <w:i w:val="1"/>
          <w:iCs w:val="1"/>
          <w:rtl w:val="0"/>
          <w:lang w:val="en-US"/>
        </w:rPr>
      </w:pPr>
      <w:r>
        <w:rPr>
          <w:i w:val="0"/>
          <w:iCs w:val="0"/>
          <w:rtl w:val="0"/>
          <w:lang w:val="en-US"/>
        </w:rPr>
        <w:t xml:space="preserve">Pentru punctul 4 de pe ordinea de zi, respectiv </w:t>
      </w:r>
      <w:r>
        <w:rPr>
          <w:i w:val="0"/>
          <w:iCs w:val="0"/>
          <w:rtl w:val="0"/>
          <w:lang w:val="en-US"/>
        </w:rPr>
        <w:t>”</w:t>
      </w:r>
      <w:r>
        <w:rPr>
          <w:rFonts w:ascii="Arial" w:hAnsi="Arial"/>
          <w:i w:val="1"/>
          <w:iCs w:val="1"/>
          <w:sz w:val="20"/>
          <w:szCs w:val="20"/>
          <w:rtl w:val="0"/>
          <w:lang w:val="en-US"/>
        </w:rPr>
        <w:t>Aprobarea accesarii si garantarii de catre Societate si de catre Inter Muntenia SRL, Agro Antran SRL, Agro Sargadillo SRL, Ronosca SRL, Benasque SRL, Bigmed SRL, a unor facilitati de credit de la Credit Agricole Bank Romania SA, astfel:</w:t>
      </w:r>
    </w:p>
    <w:p>
      <w:pPr>
        <w:pStyle w:val="List Paragraph"/>
        <w:spacing w:after="0" w:line="360" w:lineRule="auto"/>
        <w:ind w:left="1440" w:hanging="720"/>
        <w:jc w:val="both"/>
        <w:rPr>
          <w:rFonts w:ascii="Arial" w:cs="Arial" w:hAnsi="Arial" w:eastAsia="Arial"/>
          <w:i w:val="1"/>
          <w:iCs w:val="1"/>
          <w:sz w:val="20"/>
          <w:szCs w:val="20"/>
        </w:rPr>
      </w:pPr>
      <w:r>
        <w:rPr>
          <w:rFonts w:ascii="Arial" w:hAnsi="Arial"/>
          <w:i w:val="1"/>
          <w:iCs w:val="1"/>
          <w:sz w:val="20"/>
          <w:szCs w:val="20"/>
          <w:rtl w:val="0"/>
          <w:lang w:val="en-US"/>
        </w:rPr>
        <w:t>-</w:t>
        <w:tab/>
        <w:t>Agro Antran SRL - credit activitate curenta (pre-finantare APIA) in suma de 930.068 lei pentru asigurarea activitatii curente;</w:t>
      </w:r>
    </w:p>
    <w:p>
      <w:pPr>
        <w:pStyle w:val="List Paragraph"/>
        <w:spacing w:after="0" w:line="360" w:lineRule="auto"/>
        <w:ind w:left="1440" w:hanging="720"/>
        <w:jc w:val="both"/>
        <w:rPr>
          <w:rFonts w:ascii="Arial" w:cs="Arial" w:hAnsi="Arial" w:eastAsia="Arial"/>
          <w:i w:val="1"/>
          <w:iCs w:val="1"/>
          <w:sz w:val="20"/>
          <w:szCs w:val="20"/>
        </w:rPr>
      </w:pPr>
      <w:r>
        <w:rPr>
          <w:rFonts w:ascii="Arial" w:hAnsi="Arial"/>
          <w:i w:val="1"/>
          <w:iCs w:val="1"/>
          <w:sz w:val="20"/>
          <w:szCs w:val="20"/>
          <w:rtl w:val="0"/>
          <w:lang w:val="en-US"/>
        </w:rPr>
        <w:t>-</w:t>
        <w:tab/>
        <w:t>Agro Sargadillo SRL - credit activitate curenta (pre-finantare APIA) in suma de 907.989 lei pentru asigurarea activitatii curente;</w:t>
      </w:r>
    </w:p>
    <w:p>
      <w:pPr>
        <w:pStyle w:val="List Paragraph"/>
        <w:spacing w:after="0" w:line="360" w:lineRule="auto"/>
        <w:ind w:left="1440" w:hanging="720"/>
        <w:jc w:val="both"/>
        <w:rPr>
          <w:rFonts w:ascii="Arial" w:cs="Arial" w:hAnsi="Arial" w:eastAsia="Arial"/>
          <w:i w:val="1"/>
          <w:iCs w:val="1"/>
          <w:sz w:val="20"/>
          <w:szCs w:val="20"/>
        </w:rPr>
      </w:pPr>
      <w:r>
        <w:rPr>
          <w:rFonts w:ascii="Arial" w:hAnsi="Arial"/>
          <w:i w:val="1"/>
          <w:iCs w:val="1"/>
          <w:sz w:val="20"/>
          <w:szCs w:val="20"/>
          <w:rtl w:val="0"/>
          <w:lang w:val="en-US"/>
        </w:rPr>
        <w:t>-</w:t>
        <w:tab/>
        <w:t>Benasque SRL - credit pentru asigurarea activitatii curente (pre-finantare APIA) in suma de 725.466 lei;</w:t>
      </w:r>
    </w:p>
    <w:p>
      <w:pPr>
        <w:pStyle w:val="List Paragraph"/>
        <w:spacing w:after="0" w:line="360" w:lineRule="auto"/>
        <w:ind w:left="1440" w:hanging="720"/>
        <w:jc w:val="both"/>
        <w:rPr>
          <w:rFonts w:ascii="Arial" w:cs="Arial" w:hAnsi="Arial" w:eastAsia="Arial"/>
          <w:i w:val="1"/>
          <w:iCs w:val="1"/>
          <w:sz w:val="20"/>
          <w:szCs w:val="20"/>
        </w:rPr>
      </w:pPr>
      <w:r>
        <w:rPr>
          <w:rFonts w:ascii="Arial" w:hAnsi="Arial"/>
          <w:i w:val="1"/>
          <w:iCs w:val="1"/>
          <w:sz w:val="20"/>
          <w:szCs w:val="20"/>
          <w:rtl w:val="0"/>
          <w:lang w:val="en-US"/>
        </w:rPr>
        <w:t>-</w:t>
        <w:tab/>
        <w:t>BigMed SRL - credit pentru asigurarea activitatii curente (pre-finantare APIA) in suma de 457.322 lei</w:t>
      </w:r>
    </w:p>
    <w:p>
      <w:pPr>
        <w:pStyle w:val="List Paragraph"/>
        <w:spacing w:after="0" w:line="360" w:lineRule="auto"/>
        <w:ind w:left="1440" w:hanging="720"/>
        <w:jc w:val="both"/>
        <w:rPr>
          <w:rFonts w:ascii="Arial" w:cs="Arial" w:hAnsi="Arial" w:eastAsia="Arial"/>
          <w:i w:val="1"/>
          <w:iCs w:val="1"/>
          <w:sz w:val="20"/>
          <w:szCs w:val="20"/>
        </w:rPr>
      </w:pPr>
      <w:r>
        <w:rPr>
          <w:rFonts w:ascii="Arial" w:hAnsi="Arial"/>
          <w:i w:val="1"/>
          <w:iCs w:val="1"/>
          <w:sz w:val="20"/>
          <w:szCs w:val="20"/>
          <w:rtl w:val="0"/>
          <w:lang w:val="en-US"/>
        </w:rPr>
        <w:t>-</w:t>
        <w:tab/>
        <w:t xml:space="preserve">Inter Muntenia SRL - credit pentru asigurarea activitatii curente (pre-finantare APIA) in suma de 545.133 lei </w:t>
      </w:r>
    </w:p>
    <w:p>
      <w:pPr>
        <w:pStyle w:val="List Paragraph"/>
        <w:spacing w:after="0" w:line="360" w:lineRule="auto"/>
        <w:ind w:left="1440" w:hanging="720"/>
        <w:jc w:val="both"/>
        <w:rPr>
          <w:i w:val="1"/>
          <w:iCs w:val="1"/>
        </w:rPr>
      </w:pPr>
      <w:r>
        <w:rPr>
          <w:rFonts w:ascii="Arial" w:hAnsi="Arial"/>
          <w:i w:val="1"/>
          <w:iCs w:val="1"/>
          <w:sz w:val="20"/>
          <w:szCs w:val="20"/>
          <w:rtl w:val="0"/>
          <w:lang w:val="en-US"/>
        </w:rPr>
        <w:t>-</w:t>
        <w:tab/>
        <w:t>Ronosca SRL - credit pentru asigurarea activitatii curente (pre-finantare APIA) in suma de 1.512.735  lei</w:t>
      </w:r>
      <w:r>
        <w:rPr>
          <w:rFonts w:ascii="Arial" w:hAnsi="Arial" w:hint="default"/>
          <w:i w:val="1"/>
          <w:iCs w:val="1"/>
          <w:sz w:val="20"/>
          <w:szCs w:val="20"/>
          <w:rtl w:val="0"/>
          <w:lang w:val="en-US"/>
        </w:rPr>
        <w:t>”</w:t>
      </w:r>
    </w:p>
    <w:tbl>
      <w:tblPr>
        <w:tblW w:w="8900" w:type="dxa"/>
        <w:jc w:val="left"/>
        <w:tblInd w:w="55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55"/>
        <w:gridCol w:w="2978"/>
        <w:gridCol w:w="2967"/>
      </w:tblGrid>
      <w:tr>
        <w:tblPrEx>
          <w:shd w:val="clear" w:color="auto" w:fill="d0ddef"/>
        </w:tblPrEx>
        <w:trPr>
          <w:trHeight w:val="221" w:hRule="atLeast"/>
        </w:trPr>
        <w:tc>
          <w:tcPr>
            <w:tcW w:type="dxa" w:w="2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360" w:lineRule="auto"/>
              <w:ind w:left="0" w:firstLine="0"/>
              <w:jc w:val="both"/>
            </w:pPr>
            <w:r>
              <w:rPr>
                <w:shd w:val="nil" w:color="auto" w:fill="auto"/>
                <w:rtl w:val="0"/>
                <w:lang w:val="de-DE"/>
              </w:rPr>
              <w:t>PENTRU</w:t>
            </w: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360" w:lineRule="auto"/>
              <w:ind w:left="0" w:firstLine="0"/>
              <w:jc w:val="both"/>
            </w:pPr>
            <w:r>
              <w:rPr>
                <w:shd w:val="nil" w:color="auto" w:fill="auto"/>
                <w:rtl w:val="0"/>
                <w:lang w:val="it-IT"/>
              </w:rPr>
              <w:t xml:space="preserve">IMPOTRIVA </w:t>
            </w:r>
          </w:p>
        </w:tc>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360" w:lineRule="auto"/>
              <w:ind w:left="0" w:firstLine="0"/>
              <w:jc w:val="both"/>
            </w:pPr>
            <w:r>
              <w:rPr>
                <w:shd w:val="nil" w:color="auto" w:fill="auto"/>
                <w:rtl w:val="0"/>
                <w:lang w:val="de-DE"/>
              </w:rPr>
              <w:t>ABTINERE</w:t>
            </w:r>
          </w:p>
        </w:tc>
      </w:tr>
      <w:tr>
        <w:tblPrEx>
          <w:shd w:val="clear" w:color="auto" w:fill="d0ddef"/>
        </w:tblPrEx>
        <w:trPr>
          <w:trHeight w:val="221" w:hRule="atLeast"/>
        </w:trPr>
        <w:tc>
          <w:tcPr>
            <w:tcW w:type="dxa" w:w="2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List Paragraph"/>
        <w:widowControl w:val="0"/>
        <w:spacing w:after="0" w:line="240" w:lineRule="auto"/>
        <w:ind w:left="450" w:hanging="450"/>
        <w:jc w:val="both"/>
        <w:rPr>
          <w:i w:val="1"/>
          <w:iCs w:val="1"/>
        </w:rPr>
      </w:pPr>
    </w:p>
    <w:p>
      <w:pPr>
        <w:pStyle w:val="List Paragraph"/>
        <w:numPr>
          <w:ilvl w:val="0"/>
          <w:numId w:val="7"/>
        </w:numPr>
        <w:bidi w:val="0"/>
        <w:spacing w:after="0" w:line="360" w:lineRule="auto"/>
        <w:ind w:right="0"/>
        <w:jc w:val="both"/>
        <w:rPr>
          <w:rtl w:val="0"/>
          <w:lang w:val="en-US"/>
        </w:rPr>
      </w:pPr>
      <w:r>
        <w:rPr>
          <w:rtl w:val="0"/>
          <w:lang w:val="en-US"/>
        </w:rPr>
        <w:t xml:space="preserve">Pentru punctul 5 de pe ordinea de zi, respectiv </w:t>
      </w:r>
      <w:r>
        <w:rPr>
          <w:rtl w:val="0"/>
          <w:lang w:val="en-US"/>
        </w:rPr>
        <w:t>„</w:t>
      </w:r>
      <w:r>
        <w:rPr>
          <w:rFonts w:ascii="Arial" w:hAnsi="Arial"/>
          <w:i w:val="1"/>
          <w:iCs w:val="1"/>
          <w:sz w:val="20"/>
          <w:szCs w:val="20"/>
          <w:rtl w:val="0"/>
          <w:lang w:val="en-US"/>
        </w:rPr>
        <w:t>Aprobarea accesarii si garantarii, de catre Societate (Holde Agri Invest SA) si de catre Holde Agri Operational SRL, Inter Muntenia SRL, Agro Antran SRL, Agro Sargadillo SRL, Ronosca SRL, Benasque SRL, Bigmed SRL, Agromixt Buciumeni SRL si Capriciu de Licuriciu Farm SRL, societati in cadrul carora Holde Agri Invest SA detine calitatea de asociat majoritar, conform planului de investitii al Holde Agri Invest SA, de credite si facilitati de finantare in sistem de leasing financiar, pentru asigurarea capitalului de lucru, achizitia de echipamente agricole, terenuri, capacitati de stocare, modernizari baza, combustibil, etc., in urmatoarele limite:</w:t>
      </w:r>
    </w:p>
    <w:p>
      <w:pPr>
        <w:pStyle w:val="List Paragraph"/>
        <w:spacing w:after="0" w:line="360" w:lineRule="auto"/>
        <w:ind w:left="450" w:firstLine="270"/>
        <w:jc w:val="both"/>
        <w:rPr>
          <w:rFonts w:ascii="Arial" w:cs="Arial" w:hAnsi="Arial" w:eastAsia="Arial"/>
          <w:i w:val="1"/>
          <w:iCs w:val="1"/>
          <w:sz w:val="20"/>
          <w:szCs w:val="20"/>
        </w:rPr>
      </w:pPr>
      <w:r>
        <w:rPr>
          <w:rFonts w:ascii="Arial" w:hAnsi="Arial"/>
          <w:i w:val="1"/>
          <w:iCs w:val="1"/>
          <w:sz w:val="20"/>
          <w:szCs w:val="20"/>
          <w:rtl w:val="0"/>
          <w:lang w:val="en-US"/>
        </w:rPr>
        <w:t>-</w:t>
        <w:tab/>
        <w:t>Holde Agri Invest SA - pana la concurenta sumei de 7 mil. EUR (echivalent in RON)</w:t>
      </w:r>
    </w:p>
    <w:p>
      <w:pPr>
        <w:pStyle w:val="List Paragraph"/>
        <w:spacing w:after="0" w:line="360" w:lineRule="auto"/>
        <w:ind w:left="1440" w:hanging="720"/>
        <w:jc w:val="both"/>
        <w:rPr>
          <w:rFonts w:ascii="Arial" w:cs="Arial" w:hAnsi="Arial" w:eastAsia="Arial"/>
          <w:i w:val="1"/>
          <w:iCs w:val="1"/>
          <w:sz w:val="20"/>
          <w:szCs w:val="20"/>
        </w:rPr>
      </w:pPr>
      <w:r>
        <w:rPr>
          <w:rFonts w:ascii="Arial" w:hAnsi="Arial"/>
          <w:i w:val="1"/>
          <w:iCs w:val="1"/>
          <w:sz w:val="20"/>
          <w:szCs w:val="20"/>
          <w:rtl w:val="0"/>
          <w:lang w:val="en-US"/>
        </w:rPr>
        <w:t>-</w:t>
        <w:tab/>
        <w:t xml:space="preserve">Holde Agri Operational SRL </w:t>
      </w:r>
      <w:r>
        <w:rPr>
          <w:rFonts w:ascii="Arial" w:hAnsi="Arial" w:hint="default"/>
          <w:i w:val="1"/>
          <w:iCs w:val="1"/>
          <w:sz w:val="20"/>
          <w:szCs w:val="20"/>
          <w:rtl w:val="0"/>
          <w:lang w:val="en-US"/>
        </w:rPr>
        <w:t xml:space="preserve">– </w:t>
      </w:r>
      <w:r>
        <w:rPr>
          <w:rFonts w:ascii="Arial" w:hAnsi="Arial"/>
          <w:i w:val="1"/>
          <w:iCs w:val="1"/>
          <w:sz w:val="20"/>
          <w:szCs w:val="20"/>
          <w:rtl w:val="0"/>
          <w:lang w:val="en-US"/>
        </w:rPr>
        <w:t>pana la concurenta sumei de 16,5 mil. EUR (echivalent in RON)</w:t>
      </w:r>
    </w:p>
    <w:p>
      <w:pPr>
        <w:pStyle w:val="List Paragraph"/>
        <w:spacing w:after="0" w:line="360" w:lineRule="auto"/>
        <w:ind w:left="450" w:firstLine="270"/>
        <w:jc w:val="both"/>
        <w:rPr>
          <w:rFonts w:ascii="Arial" w:cs="Arial" w:hAnsi="Arial" w:eastAsia="Arial"/>
          <w:i w:val="1"/>
          <w:iCs w:val="1"/>
          <w:sz w:val="20"/>
          <w:szCs w:val="20"/>
        </w:rPr>
      </w:pPr>
      <w:r>
        <w:rPr>
          <w:rFonts w:ascii="Arial" w:hAnsi="Arial"/>
          <w:i w:val="1"/>
          <w:iCs w:val="1"/>
          <w:sz w:val="20"/>
          <w:szCs w:val="20"/>
          <w:rtl w:val="0"/>
          <w:lang w:val="en-US"/>
        </w:rPr>
        <w:t>-</w:t>
        <w:tab/>
        <w:t xml:space="preserve">Inter Muntenia SRL </w:t>
      </w:r>
      <w:r>
        <w:rPr>
          <w:rFonts w:ascii="Arial" w:hAnsi="Arial" w:hint="default"/>
          <w:i w:val="1"/>
          <w:iCs w:val="1"/>
          <w:sz w:val="20"/>
          <w:szCs w:val="20"/>
          <w:rtl w:val="0"/>
          <w:lang w:val="en-US"/>
        </w:rPr>
        <w:t xml:space="preserve">– </w:t>
      </w:r>
      <w:r>
        <w:rPr>
          <w:rFonts w:ascii="Arial" w:hAnsi="Arial"/>
          <w:i w:val="1"/>
          <w:iCs w:val="1"/>
          <w:sz w:val="20"/>
          <w:szCs w:val="20"/>
          <w:rtl w:val="0"/>
          <w:lang w:val="en-US"/>
        </w:rPr>
        <w:t>pana la concurenta sumei de 1,2 mil. EUR (echivalent in RON)</w:t>
      </w:r>
    </w:p>
    <w:p>
      <w:pPr>
        <w:pStyle w:val="List Paragraph"/>
        <w:spacing w:after="0" w:line="360" w:lineRule="auto"/>
        <w:ind w:left="450" w:firstLine="270"/>
        <w:jc w:val="both"/>
        <w:rPr>
          <w:rFonts w:ascii="Arial" w:cs="Arial" w:hAnsi="Arial" w:eastAsia="Arial"/>
          <w:i w:val="1"/>
          <w:iCs w:val="1"/>
          <w:sz w:val="20"/>
          <w:szCs w:val="20"/>
        </w:rPr>
      </w:pPr>
      <w:r>
        <w:rPr>
          <w:rFonts w:ascii="Arial" w:hAnsi="Arial"/>
          <w:i w:val="1"/>
          <w:iCs w:val="1"/>
          <w:sz w:val="20"/>
          <w:szCs w:val="20"/>
          <w:rtl w:val="0"/>
          <w:lang w:val="en-US"/>
        </w:rPr>
        <w:t>-</w:t>
        <w:tab/>
        <w:t xml:space="preserve">Agro Antran SRL </w:t>
      </w:r>
      <w:r>
        <w:rPr>
          <w:rFonts w:ascii="Arial" w:hAnsi="Arial" w:hint="default"/>
          <w:i w:val="1"/>
          <w:iCs w:val="1"/>
          <w:sz w:val="20"/>
          <w:szCs w:val="20"/>
          <w:rtl w:val="0"/>
          <w:lang w:val="en-US"/>
        </w:rPr>
        <w:t xml:space="preserve">– </w:t>
      </w:r>
      <w:r>
        <w:rPr>
          <w:rFonts w:ascii="Arial" w:hAnsi="Arial"/>
          <w:i w:val="1"/>
          <w:iCs w:val="1"/>
          <w:sz w:val="20"/>
          <w:szCs w:val="20"/>
          <w:rtl w:val="0"/>
          <w:lang w:val="en-US"/>
        </w:rPr>
        <w:t>pana la concurenta sumei de 1,35 mil. EUR (echivalent in RON)</w:t>
      </w:r>
    </w:p>
    <w:p>
      <w:pPr>
        <w:pStyle w:val="List Paragraph"/>
        <w:spacing w:after="0" w:line="360" w:lineRule="auto"/>
        <w:ind w:left="450" w:firstLine="270"/>
        <w:jc w:val="both"/>
        <w:rPr>
          <w:rFonts w:ascii="Arial" w:cs="Arial" w:hAnsi="Arial" w:eastAsia="Arial"/>
          <w:i w:val="1"/>
          <w:iCs w:val="1"/>
          <w:sz w:val="20"/>
          <w:szCs w:val="20"/>
        </w:rPr>
      </w:pPr>
      <w:r>
        <w:rPr>
          <w:rFonts w:ascii="Arial" w:hAnsi="Arial"/>
          <w:i w:val="1"/>
          <w:iCs w:val="1"/>
          <w:sz w:val="20"/>
          <w:szCs w:val="20"/>
          <w:rtl w:val="0"/>
          <w:lang w:val="en-US"/>
        </w:rPr>
        <w:t>-</w:t>
        <w:tab/>
        <w:t xml:space="preserve">Agro Sargadillo SRL </w:t>
      </w:r>
      <w:r>
        <w:rPr>
          <w:rFonts w:ascii="Arial" w:hAnsi="Arial" w:hint="default"/>
          <w:i w:val="1"/>
          <w:iCs w:val="1"/>
          <w:sz w:val="20"/>
          <w:szCs w:val="20"/>
          <w:rtl w:val="0"/>
          <w:lang w:val="en-US"/>
        </w:rPr>
        <w:t xml:space="preserve">– </w:t>
      </w:r>
      <w:r>
        <w:rPr>
          <w:rFonts w:ascii="Arial" w:hAnsi="Arial"/>
          <w:i w:val="1"/>
          <w:iCs w:val="1"/>
          <w:sz w:val="20"/>
          <w:szCs w:val="20"/>
          <w:rtl w:val="0"/>
          <w:lang w:val="en-US"/>
        </w:rPr>
        <w:t>pana la concurenta sumei de 1,35 mil. EUR (echivalent in RON)</w:t>
      </w:r>
    </w:p>
    <w:p>
      <w:pPr>
        <w:pStyle w:val="List Paragraph"/>
        <w:spacing w:after="0" w:line="360" w:lineRule="auto"/>
        <w:ind w:left="450" w:firstLine="270"/>
        <w:jc w:val="both"/>
        <w:rPr>
          <w:rFonts w:ascii="Arial" w:cs="Arial" w:hAnsi="Arial" w:eastAsia="Arial"/>
          <w:i w:val="1"/>
          <w:iCs w:val="1"/>
          <w:sz w:val="20"/>
          <w:szCs w:val="20"/>
        </w:rPr>
      </w:pPr>
      <w:r>
        <w:rPr>
          <w:rFonts w:ascii="Arial" w:hAnsi="Arial"/>
          <w:i w:val="1"/>
          <w:iCs w:val="1"/>
          <w:sz w:val="20"/>
          <w:szCs w:val="20"/>
          <w:rtl w:val="0"/>
          <w:lang w:val="en-US"/>
        </w:rPr>
        <w:t>-</w:t>
        <w:tab/>
        <w:t xml:space="preserve">Ronosca SRL </w:t>
      </w:r>
      <w:r>
        <w:rPr>
          <w:rFonts w:ascii="Arial" w:hAnsi="Arial" w:hint="default"/>
          <w:i w:val="1"/>
          <w:iCs w:val="1"/>
          <w:sz w:val="20"/>
          <w:szCs w:val="20"/>
          <w:rtl w:val="0"/>
          <w:lang w:val="en-US"/>
        </w:rPr>
        <w:t xml:space="preserve">– </w:t>
      </w:r>
      <w:r>
        <w:rPr>
          <w:rFonts w:ascii="Arial" w:hAnsi="Arial"/>
          <w:i w:val="1"/>
          <w:iCs w:val="1"/>
          <w:sz w:val="20"/>
          <w:szCs w:val="20"/>
          <w:rtl w:val="0"/>
          <w:lang w:val="en-US"/>
        </w:rPr>
        <w:t>pana la concurenta sumei de 1,5 mil. EUR (echivalent in RON)</w:t>
      </w:r>
    </w:p>
    <w:p>
      <w:pPr>
        <w:pStyle w:val="List Paragraph"/>
        <w:spacing w:after="0" w:line="360" w:lineRule="auto"/>
        <w:ind w:left="450" w:firstLine="270"/>
        <w:jc w:val="both"/>
        <w:rPr>
          <w:rFonts w:ascii="Arial" w:cs="Arial" w:hAnsi="Arial" w:eastAsia="Arial"/>
          <w:i w:val="1"/>
          <w:iCs w:val="1"/>
          <w:sz w:val="20"/>
          <w:szCs w:val="20"/>
        </w:rPr>
      </w:pPr>
      <w:r>
        <w:rPr>
          <w:rFonts w:ascii="Arial" w:hAnsi="Arial"/>
          <w:i w:val="1"/>
          <w:iCs w:val="1"/>
          <w:sz w:val="20"/>
          <w:szCs w:val="20"/>
          <w:rtl w:val="0"/>
          <w:lang w:val="en-US"/>
        </w:rPr>
        <w:t>-</w:t>
        <w:tab/>
        <w:t xml:space="preserve">Benasque SRL </w:t>
      </w:r>
      <w:r>
        <w:rPr>
          <w:rFonts w:ascii="Arial" w:hAnsi="Arial" w:hint="default"/>
          <w:i w:val="1"/>
          <w:iCs w:val="1"/>
          <w:sz w:val="20"/>
          <w:szCs w:val="20"/>
          <w:rtl w:val="0"/>
          <w:lang w:val="en-US"/>
        </w:rPr>
        <w:t xml:space="preserve">– </w:t>
      </w:r>
      <w:r>
        <w:rPr>
          <w:rFonts w:ascii="Arial" w:hAnsi="Arial"/>
          <w:i w:val="1"/>
          <w:iCs w:val="1"/>
          <w:sz w:val="20"/>
          <w:szCs w:val="20"/>
          <w:rtl w:val="0"/>
          <w:lang w:val="en-US"/>
        </w:rPr>
        <w:t>pana la concurenta sumei de 1,5 mil. EUR (echivalent in RON)</w:t>
      </w:r>
    </w:p>
    <w:p>
      <w:pPr>
        <w:pStyle w:val="List Paragraph"/>
        <w:spacing w:after="0" w:line="360" w:lineRule="auto"/>
        <w:ind w:left="450" w:firstLine="270"/>
        <w:jc w:val="both"/>
        <w:rPr>
          <w:rFonts w:ascii="Arial" w:cs="Arial" w:hAnsi="Arial" w:eastAsia="Arial"/>
          <w:i w:val="1"/>
          <w:iCs w:val="1"/>
          <w:sz w:val="20"/>
          <w:szCs w:val="20"/>
        </w:rPr>
      </w:pPr>
      <w:r>
        <w:rPr>
          <w:rFonts w:ascii="Arial" w:hAnsi="Arial"/>
          <w:i w:val="1"/>
          <w:iCs w:val="1"/>
          <w:sz w:val="20"/>
          <w:szCs w:val="20"/>
          <w:rtl w:val="0"/>
          <w:lang w:val="en-US"/>
        </w:rPr>
        <w:t>-</w:t>
        <w:tab/>
        <w:t>Bigmed SRL - pana la concurenta sumei de 1,25 mil. EUR (echivalent in RON)</w:t>
      </w:r>
    </w:p>
    <w:p>
      <w:pPr>
        <w:pStyle w:val="List Paragraph"/>
        <w:spacing w:after="0" w:line="360" w:lineRule="auto"/>
        <w:ind w:left="1440" w:hanging="720"/>
        <w:jc w:val="both"/>
        <w:rPr>
          <w:rFonts w:ascii="Arial" w:cs="Arial" w:hAnsi="Arial" w:eastAsia="Arial"/>
          <w:i w:val="1"/>
          <w:iCs w:val="1"/>
          <w:sz w:val="20"/>
          <w:szCs w:val="20"/>
        </w:rPr>
      </w:pPr>
      <w:r>
        <w:rPr>
          <w:rFonts w:ascii="Arial" w:hAnsi="Arial"/>
          <w:i w:val="1"/>
          <w:iCs w:val="1"/>
          <w:sz w:val="20"/>
          <w:szCs w:val="20"/>
          <w:rtl w:val="0"/>
          <w:lang w:val="en-US"/>
        </w:rPr>
        <w:t>-</w:t>
        <w:tab/>
        <w:t>Capriciu de Licuriciu Farm SRL - pana la concurenta sumei de 200 mii EUR (echivalent in RON)</w:t>
      </w:r>
    </w:p>
    <w:p>
      <w:pPr>
        <w:pStyle w:val="List Paragraph"/>
        <w:spacing w:after="0" w:line="360" w:lineRule="auto"/>
        <w:ind w:left="450" w:firstLine="270"/>
        <w:jc w:val="both"/>
      </w:pPr>
      <w:r>
        <w:rPr>
          <w:rFonts w:ascii="Arial" w:hAnsi="Arial"/>
          <w:i w:val="1"/>
          <w:iCs w:val="1"/>
          <w:sz w:val="20"/>
          <w:szCs w:val="20"/>
          <w:rtl w:val="0"/>
          <w:lang w:val="en-US"/>
        </w:rPr>
        <w:t>-</w:t>
        <w:tab/>
        <w:t>Agromixt Buciumeni SRL - pana la concurenta sumei de 6,3 mil. EUR (echivalent in RON)</w:t>
      </w:r>
      <w:r>
        <w:rPr>
          <w:rFonts w:ascii="Arial" w:hAnsi="Arial" w:hint="default"/>
          <w:i w:val="1"/>
          <w:iCs w:val="1"/>
          <w:sz w:val="20"/>
          <w:szCs w:val="20"/>
          <w:rtl w:val="0"/>
          <w:lang w:val="en-US"/>
        </w:rPr>
        <w:t>”</w:t>
      </w:r>
      <w:r>
        <w:rPr>
          <w:rFonts w:ascii="Arial" w:hAnsi="Arial"/>
          <w:i w:val="1"/>
          <w:iCs w:val="1"/>
          <w:sz w:val="20"/>
          <w:szCs w:val="20"/>
          <w:rtl w:val="0"/>
          <w:lang w:val="en-US"/>
        </w:rPr>
        <w:t>.</w:t>
      </w:r>
    </w:p>
    <w:tbl>
      <w:tblPr>
        <w:tblW w:w="8900" w:type="dxa"/>
        <w:jc w:val="left"/>
        <w:tblInd w:w="55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55"/>
        <w:gridCol w:w="2978"/>
        <w:gridCol w:w="2967"/>
      </w:tblGrid>
      <w:tr>
        <w:tblPrEx>
          <w:shd w:val="clear" w:color="auto" w:fill="d0ddef"/>
        </w:tblPrEx>
        <w:trPr>
          <w:trHeight w:val="221" w:hRule="atLeast"/>
        </w:trPr>
        <w:tc>
          <w:tcPr>
            <w:tcW w:type="dxa" w:w="2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360" w:lineRule="auto"/>
              <w:ind w:left="0" w:firstLine="0"/>
              <w:jc w:val="both"/>
            </w:pPr>
            <w:r>
              <w:rPr>
                <w:shd w:val="nil" w:color="auto" w:fill="auto"/>
                <w:rtl w:val="0"/>
                <w:lang w:val="de-DE"/>
              </w:rPr>
              <w:t>PENTRU</w:t>
            </w: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360" w:lineRule="auto"/>
              <w:ind w:left="0" w:firstLine="0"/>
              <w:jc w:val="both"/>
            </w:pPr>
            <w:r>
              <w:rPr>
                <w:shd w:val="nil" w:color="auto" w:fill="auto"/>
                <w:rtl w:val="0"/>
                <w:lang w:val="it-IT"/>
              </w:rPr>
              <w:t xml:space="preserve">IMPOTRIVA </w:t>
            </w:r>
          </w:p>
        </w:tc>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360" w:lineRule="auto"/>
              <w:ind w:left="0" w:firstLine="0"/>
              <w:jc w:val="both"/>
            </w:pPr>
            <w:r>
              <w:rPr>
                <w:shd w:val="nil" w:color="auto" w:fill="auto"/>
                <w:rtl w:val="0"/>
                <w:lang w:val="de-DE"/>
              </w:rPr>
              <w:t>ABTINERE</w:t>
            </w:r>
          </w:p>
        </w:tc>
      </w:tr>
      <w:tr>
        <w:tblPrEx>
          <w:shd w:val="clear" w:color="auto" w:fill="d0ddef"/>
        </w:tblPrEx>
        <w:trPr>
          <w:trHeight w:val="221" w:hRule="atLeast"/>
        </w:trPr>
        <w:tc>
          <w:tcPr>
            <w:tcW w:type="dxa" w:w="2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List Paragraph"/>
        <w:widowControl w:val="0"/>
        <w:spacing w:after="0" w:line="240" w:lineRule="auto"/>
        <w:ind w:left="450" w:hanging="450"/>
        <w:jc w:val="both"/>
      </w:pPr>
    </w:p>
    <w:p>
      <w:pPr>
        <w:pStyle w:val="Body"/>
        <w:spacing w:after="0" w:line="360" w:lineRule="auto"/>
        <w:jc w:val="both"/>
      </w:pPr>
    </w:p>
    <w:p>
      <w:pPr>
        <w:pStyle w:val="List Paragraph"/>
        <w:numPr>
          <w:ilvl w:val="0"/>
          <w:numId w:val="8"/>
        </w:numPr>
        <w:bidi w:val="0"/>
        <w:spacing w:after="0" w:line="360" w:lineRule="auto"/>
        <w:ind w:right="0"/>
        <w:jc w:val="both"/>
        <w:rPr>
          <w:rtl w:val="0"/>
          <w:lang w:val="en-US"/>
        </w:rPr>
      </w:pPr>
      <w:r>
        <w:rPr>
          <w:rtl w:val="0"/>
          <w:lang w:val="en-US"/>
        </w:rPr>
        <w:t xml:space="preserve">Pentru punctul 6 de pe ordinea de zi, respectiv </w:t>
      </w:r>
      <w:r>
        <w:rPr>
          <w:rtl w:val="0"/>
          <w:lang w:val="en-US"/>
        </w:rPr>
        <w:t>„</w:t>
      </w:r>
      <w:r>
        <w:rPr>
          <w:i w:val="1"/>
          <w:iCs w:val="1"/>
          <w:rtl w:val="0"/>
          <w:lang w:val="en-US"/>
        </w:rPr>
        <w:t>Aprobarea accesarii de catre Societate a unui credit in valoare de maxim 11.000.000 lei in vederea achizitionarii unei noi ferme</w:t>
      </w:r>
      <w:r>
        <w:rPr>
          <w:rtl w:val="0"/>
          <w:lang w:val="en-US"/>
        </w:rPr>
        <w:t>”</w:t>
      </w:r>
      <w:r>
        <w:rPr>
          <w:rtl w:val="0"/>
          <w:lang w:val="en-US"/>
        </w:rPr>
        <w:t>.</w:t>
      </w:r>
    </w:p>
    <w:tbl>
      <w:tblPr>
        <w:tblW w:w="8900" w:type="dxa"/>
        <w:jc w:val="left"/>
        <w:tblInd w:w="55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55"/>
        <w:gridCol w:w="2978"/>
        <w:gridCol w:w="2967"/>
      </w:tblGrid>
      <w:tr>
        <w:tblPrEx>
          <w:shd w:val="clear" w:color="auto" w:fill="d0ddef"/>
        </w:tblPrEx>
        <w:trPr>
          <w:trHeight w:val="221" w:hRule="atLeast"/>
        </w:trPr>
        <w:tc>
          <w:tcPr>
            <w:tcW w:type="dxa" w:w="2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360" w:lineRule="auto"/>
              <w:ind w:left="0" w:firstLine="0"/>
              <w:jc w:val="both"/>
            </w:pPr>
            <w:r>
              <w:rPr>
                <w:shd w:val="nil" w:color="auto" w:fill="auto"/>
                <w:rtl w:val="0"/>
                <w:lang w:val="de-DE"/>
              </w:rPr>
              <w:t>PENTRU</w:t>
            </w: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360" w:lineRule="auto"/>
              <w:ind w:left="0" w:firstLine="0"/>
              <w:jc w:val="both"/>
            </w:pPr>
            <w:r>
              <w:rPr>
                <w:shd w:val="nil" w:color="auto" w:fill="auto"/>
                <w:rtl w:val="0"/>
                <w:lang w:val="it-IT"/>
              </w:rPr>
              <w:t xml:space="preserve">IMPOTRIVA </w:t>
            </w:r>
          </w:p>
        </w:tc>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360" w:lineRule="auto"/>
              <w:ind w:left="0" w:firstLine="0"/>
              <w:jc w:val="both"/>
            </w:pPr>
            <w:r>
              <w:rPr>
                <w:shd w:val="nil" w:color="auto" w:fill="auto"/>
                <w:rtl w:val="0"/>
                <w:lang w:val="de-DE"/>
              </w:rPr>
              <w:t>ABTINERE</w:t>
            </w:r>
          </w:p>
        </w:tc>
      </w:tr>
      <w:tr>
        <w:tblPrEx>
          <w:shd w:val="clear" w:color="auto" w:fill="d0ddef"/>
        </w:tblPrEx>
        <w:trPr>
          <w:trHeight w:val="221" w:hRule="atLeast"/>
        </w:trPr>
        <w:tc>
          <w:tcPr>
            <w:tcW w:type="dxa" w:w="2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List Paragraph"/>
        <w:widowControl w:val="0"/>
        <w:numPr>
          <w:ilvl w:val="0"/>
          <w:numId w:val="3"/>
        </w:numPr>
        <w:spacing w:after="0" w:line="240" w:lineRule="auto"/>
        <w:jc w:val="both"/>
      </w:pPr>
    </w:p>
    <w:p>
      <w:pPr>
        <w:pStyle w:val="List Paragraph"/>
        <w:spacing w:after="0" w:line="360" w:lineRule="auto"/>
        <w:ind w:left="450" w:firstLine="0"/>
        <w:jc w:val="both"/>
      </w:pPr>
    </w:p>
    <w:p>
      <w:pPr>
        <w:pStyle w:val="List Paragraph"/>
        <w:numPr>
          <w:ilvl w:val="0"/>
          <w:numId w:val="9"/>
        </w:numPr>
        <w:bidi w:val="0"/>
        <w:spacing w:after="0" w:line="360" w:lineRule="auto"/>
        <w:ind w:right="0"/>
        <w:jc w:val="both"/>
        <w:rPr>
          <w:rtl w:val="0"/>
          <w:lang w:val="en-US"/>
        </w:rPr>
      </w:pPr>
      <w:r>
        <w:rPr>
          <w:rtl w:val="0"/>
          <w:lang w:val="en-US"/>
        </w:rPr>
        <w:t xml:space="preserve">Pentru punctul 7 de pe ordinea de zi, respectiv </w:t>
      </w:r>
      <w:r>
        <w:rPr>
          <w:rtl w:val="0"/>
          <w:lang w:val="en-US"/>
        </w:rPr>
        <w:t>„</w:t>
      </w:r>
      <w:r>
        <w:rPr>
          <w:rFonts w:ascii="Arial" w:hAnsi="Arial"/>
          <w:i w:val="1"/>
          <w:iCs w:val="1"/>
          <w:sz w:val="20"/>
          <w:szCs w:val="20"/>
          <w:rtl w:val="0"/>
          <w:lang w:val="en-US"/>
        </w:rPr>
        <w:t>Aprobarea imputernicirii Administratorului Unic al Societatii, cu puteri depline, pentru a indeplini toate procedurile si formalitatile prevazute de lege in scopul implementarii hotararilor actionarilor, semnarea hotararile actionarilor si a oricaror alte documente in legatura cu acestea, precum si pentru indeplinirea formalitatile de publicare si inregistrare a acestora la Registrul Comertului</w:t>
      </w:r>
      <w:r>
        <w:rPr>
          <w:rFonts w:ascii="Arial" w:hAnsi="Arial" w:hint="default"/>
          <w:i w:val="1"/>
          <w:iCs w:val="1"/>
          <w:sz w:val="20"/>
          <w:szCs w:val="20"/>
          <w:rtl w:val="0"/>
          <w:lang w:val="en-US"/>
        </w:rPr>
        <w:t>”</w:t>
      </w:r>
      <w:r>
        <w:rPr>
          <w:rFonts w:ascii="Arial" w:hAnsi="Arial"/>
          <w:i w:val="1"/>
          <w:iCs w:val="1"/>
          <w:sz w:val="20"/>
          <w:szCs w:val="20"/>
          <w:rtl w:val="0"/>
          <w:lang w:val="en-US"/>
        </w:rPr>
        <w:t>.</w:t>
      </w:r>
    </w:p>
    <w:tbl>
      <w:tblPr>
        <w:tblW w:w="8900" w:type="dxa"/>
        <w:jc w:val="left"/>
        <w:tblInd w:w="55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55"/>
        <w:gridCol w:w="2978"/>
        <w:gridCol w:w="2967"/>
      </w:tblGrid>
      <w:tr>
        <w:tblPrEx>
          <w:shd w:val="clear" w:color="auto" w:fill="d0ddef"/>
        </w:tblPrEx>
        <w:trPr>
          <w:trHeight w:val="221" w:hRule="atLeast"/>
        </w:trPr>
        <w:tc>
          <w:tcPr>
            <w:tcW w:type="dxa" w:w="2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360" w:lineRule="auto"/>
              <w:ind w:left="0" w:firstLine="0"/>
              <w:jc w:val="both"/>
            </w:pPr>
            <w:r>
              <w:rPr>
                <w:shd w:val="nil" w:color="auto" w:fill="auto"/>
                <w:rtl w:val="0"/>
                <w:lang w:val="de-DE"/>
              </w:rPr>
              <w:t>PENTRU</w:t>
            </w: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360" w:lineRule="auto"/>
              <w:ind w:left="0" w:firstLine="0"/>
              <w:jc w:val="both"/>
            </w:pPr>
            <w:r>
              <w:rPr>
                <w:shd w:val="nil" w:color="auto" w:fill="auto"/>
                <w:rtl w:val="0"/>
                <w:lang w:val="it-IT"/>
              </w:rPr>
              <w:t xml:space="preserve">IMPOTRIVA </w:t>
            </w:r>
          </w:p>
        </w:tc>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360" w:lineRule="auto"/>
              <w:ind w:left="0" w:firstLine="0"/>
              <w:jc w:val="both"/>
            </w:pPr>
            <w:r>
              <w:rPr>
                <w:shd w:val="nil" w:color="auto" w:fill="auto"/>
                <w:rtl w:val="0"/>
                <w:lang w:val="de-DE"/>
              </w:rPr>
              <w:t>ABTINERE</w:t>
            </w:r>
          </w:p>
        </w:tc>
      </w:tr>
      <w:tr>
        <w:tblPrEx>
          <w:shd w:val="clear" w:color="auto" w:fill="d0ddef"/>
        </w:tblPrEx>
        <w:trPr>
          <w:trHeight w:val="221" w:hRule="atLeast"/>
        </w:trPr>
        <w:tc>
          <w:tcPr>
            <w:tcW w:type="dxa" w:w="2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List Paragraph"/>
        <w:widowControl w:val="0"/>
        <w:numPr>
          <w:ilvl w:val="0"/>
          <w:numId w:val="3"/>
        </w:numPr>
        <w:spacing w:after="0" w:line="240" w:lineRule="auto"/>
        <w:jc w:val="both"/>
      </w:pPr>
    </w:p>
    <w:p>
      <w:pPr>
        <w:pStyle w:val="Body"/>
        <w:spacing w:after="0" w:line="360" w:lineRule="auto"/>
        <w:jc w:val="both"/>
      </w:pPr>
    </w:p>
    <w:p>
      <w:pPr>
        <w:pStyle w:val="Body"/>
        <w:spacing w:after="0" w:line="360" w:lineRule="auto"/>
        <w:jc w:val="both"/>
      </w:pPr>
      <w:r>
        <w:rPr>
          <w:rtl w:val="0"/>
        </w:rPr>
        <w:t>Anexam la prezenta imputernicire (i) un certificat constatator eliberat de Registrul Comertului sau un alt document emis de o autoritate similara din statul in care actionarul este inmatriculat, emis cu cel mult 30 de zile inainte de data publicarii convocatorului adunarii generale si aflat in termenul de valabilitate, care permite identificarea actionarului in lista actionarilor si care sa dovedeasca calitatea de reprezentant legal a persoanei care a emis imputernicirea si (ii) actul de identitate al imputernicitului.</w:t>
      </w:r>
    </w:p>
    <w:p>
      <w:pPr>
        <w:pStyle w:val="Body"/>
        <w:spacing w:after="0" w:line="360" w:lineRule="auto"/>
        <w:jc w:val="both"/>
      </w:pPr>
    </w:p>
    <w:p>
      <w:pPr>
        <w:pStyle w:val="Body"/>
        <w:spacing w:after="0" w:line="360" w:lineRule="auto"/>
        <w:jc w:val="both"/>
      </w:pPr>
      <w:r>
        <w:rPr>
          <w:rtl w:val="0"/>
        </w:rPr>
        <w:t>Prezenta procura este valabila doar pentru AGOA pentru care a fost solicitata, iar reprezentantul are obligatia sa voteze in conformitate cu instructiunile formulate de catre actionarul care l-a desemnat, sub sanctiunea anularii votului.</w:t>
      </w:r>
    </w:p>
    <w:p>
      <w:pPr>
        <w:pStyle w:val="Body"/>
        <w:spacing w:after="0" w:line="360" w:lineRule="auto"/>
        <w:rPr>
          <w:b w:val="1"/>
          <w:bCs w:val="1"/>
        </w:rPr>
      </w:pPr>
    </w:p>
    <w:p>
      <w:pPr>
        <w:pStyle w:val="Body"/>
        <w:spacing w:after="0" w:line="360" w:lineRule="auto"/>
        <w:jc w:val="both"/>
      </w:pPr>
      <w:r>
        <w:rPr>
          <w:rtl w:val="0"/>
          <w:lang w:val="de-DE"/>
        </w:rPr>
        <w:t>Note:</w:t>
      </w:r>
    </w:p>
    <w:p>
      <w:pPr>
        <w:pStyle w:val="List Paragraph"/>
        <w:numPr>
          <w:ilvl w:val="0"/>
          <w:numId w:val="11"/>
        </w:numPr>
        <w:bidi w:val="0"/>
        <w:spacing w:after="0" w:line="276" w:lineRule="auto"/>
        <w:ind w:right="0"/>
        <w:jc w:val="both"/>
        <w:rPr>
          <w:i w:val="1"/>
          <w:iCs w:val="1"/>
          <w:sz w:val="18"/>
          <w:szCs w:val="18"/>
          <w:rtl w:val="0"/>
          <w:lang w:val="en-US"/>
        </w:rPr>
      </w:pPr>
      <w:r>
        <w:rPr>
          <w:i w:val="1"/>
          <w:iCs w:val="1"/>
          <w:sz w:val="18"/>
          <w:szCs w:val="18"/>
          <w:rtl w:val="0"/>
          <w:lang w:val="en-US"/>
        </w:rPr>
        <w:t xml:space="preserve">Indicati votul dvs. prin bifarea cu un </w:t>
      </w:r>
      <w:r>
        <w:rPr>
          <w:i w:val="1"/>
          <w:iCs w:val="1"/>
          <w:sz w:val="18"/>
          <w:szCs w:val="18"/>
          <w:rtl w:val="0"/>
          <w:lang w:val="en-US"/>
        </w:rPr>
        <w:t>„</w:t>
      </w:r>
      <w:r>
        <w:rPr>
          <w:i w:val="1"/>
          <w:iCs w:val="1"/>
          <w:sz w:val="18"/>
          <w:szCs w:val="18"/>
          <w:rtl w:val="0"/>
          <w:lang w:val="en-US"/>
        </w:rPr>
        <w:t>X</w:t>
      </w:r>
      <w:r>
        <w:rPr>
          <w:i w:val="1"/>
          <w:iCs w:val="1"/>
          <w:sz w:val="18"/>
          <w:szCs w:val="18"/>
          <w:rtl w:val="0"/>
          <w:lang w:val="en-US"/>
        </w:rPr>
        <w:t xml:space="preserve">” </w:t>
      </w:r>
      <w:r>
        <w:rPr>
          <w:i w:val="1"/>
          <w:iCs w:val="1"/>
          <w:sz w:val="18"/>
          <w:szCs w:val="18"/>
          <w:rtl w:val="0"/>
          <w:lang w:val="en-US"/>
        </w:rPr>
        <w:t xml:space="preserve">a uneia dintre casutele pentru variantele </w:t>
      </w:r>
      <w:r>
        <w:rPr>
          <w:i w:val="1"/>
          <w:iCs w:val="1"/>
          <w:sz w:val="18"/>
          <w:szCs w:val="18"/>
          <w:rtl w:val="0"/>
          <w:lang w:val="en-US"/>
        </w:rPr>
        <w:t>„</w:t>
      </w:r>
      <w:r>
        <w:rPr>
          <w:i w:val="1"/>
          <w:iCs w:val="1"/>
          <w:sz w:val="18"/>
          <w:szCs w:val="18"/>
          <w:rtl w:val="0"/>
          <w:lang w:val="en-US"/>
        </w:rPr>
        <w:t>PENTRU</w:t>
      </w:r>
      <w:r>
        <w:rPr>
          <w:i w:val="1"/>
          <w:iCs w:val="1"/>
          <w:sz w:val="18"/>
          <w:szCs w:val="18"/>
          <w:rtl w:val="0"/>
          <w:lang w:val="en-US"/>
        </w:rPr>
        <w:t>”</w:t>
      </w:r>
      <w:r>
        <w:rPr>
          <w:i w:val="1"/>
          <w:iCs w:val="1"/>
          <w:sz w:val="18"/>
          <w:szCs w:val="18"/>
          <w:rtl w:val="0"/>
          <w:lang w:val="en-US"/>
        </w:rPr>
        <w:t xml:space="preserve">, </w:t>
      </w:r>
      <w:r>
        <w:rPr>
          <w:i w:val="1"/>
          <w:iCs w:val="1"/>
          <w:sz w:val="18"/>
          <w:szCs w:val="18"/>
          <w:rtl w:val="0"/>
          <w:lang w:val="en-US"/>
        </w:rPr>
        <w:t>„</w:t>
      </w:r>
      <w:r>
        <w:rPr>
          <w:i w:val="1"/>
          <w:iCs w:val="1"/>
          <w:sz w:val="18"/>
          <w:szCs w:val="18"/>
          <w:rtl w:val="0"/>
          <w:lang w:val="en-US"/>
        </w:rPr>
        <w:t>IMPOTRIVA</w:t>
      </w:r>
      <w:r>
        <w:rPr>
          <w:i w:val="1"/>
          <w:iCs w:val="1"/>
          <w:sz w:val="18"/>
          <w:szCs w:val="18"/>
          <w:rtl w:val="0"/>
          <w:lang w:val="en-US"/>
        </w:rPr>
        <w:t xml:space="preserve">” </w:t>
      </w:r>
      <w:r>
        <w:rPr>
          <w:i w:val="1"/>
          <w:iCs w:val="1"/>
          <w:sz w:val="18"/>
          <w:szCs w:val="18"/>
          <w:rtl w:val="0"/>
          <w:lang w:val="en-US"/>
        </w:rPr>
        <w:t xml:space="preserve">sau </w:t>
      </w:r>
      <w:r>
        <w:rPr>
          <w:i w:val="1"/>
          <w:iCs w:val="1"/>
          <w:sz w:val="18"/>
          <w:szCs w:val="18"/>
          <w:rtl w:val="0"/>
          <w:lang w:val="en-US"/>
        </w:rPr>
        <w:t>„</w:t>
      </w:r>
      <w:r>
        <w:rPr>
          <w:i w:val="1"/>
          <w:iCs w:val="1"/>
          <w:sz w:val="18"/>
          <w:szCs w:val="18"/>
          <w:rtl w:val="0"/>
          <w:lang w:val="en-US"/>
        </w:rPr>
        <w:t>ABTINERE</w:t>
      </w:r>
      <w:r>
        <w:rPr>
          <w:i w:val="1"/>
          <w:iCs w:val="1"/>
          <w:sz w:val="18"/>
          <w:szCs w:val="18"/>
          <w:rtl w:val="0"/>
          <w:lang w:val="en-US"/>
        </w:rPr>
        <w:t>”</w:t>
      </w:r>
      <w:r>
        <w:rPr>
          <w:i w:val="1"/>
          <w:iCs w:val="1"/>
          <w:sz w:val="18"/>
          <w:szCs w:val="18"/>
          <w:rtl w:val="0"/>
          <w:lang w:val="en-US"/>
        </w:rPr>
        <w:t xml:space="preserve">. In situatia in care se bifeaza cu </w:t>
      </w:r>
      <w:r>
        <w:rPr>
          <w:i w:val="1"/>
          <w:iCs w:val="1"/>
          <w:sz w:val="18"/>
          <w:szCs w:val="18"/>
          <w:rtl w:val="0"/>
          <w:lang w:val="en-US"/>
        </w:rPr>
        <w:t>„</w:t>
      </w:r>
      <w:r>
        <w:rPr>
          <w:i w:val="1"/>
          <w:iCs w:val="1"/>
          <w:sz w:val="18"/>
          <w:szCs w:val="18"/>
          <w:rtl w:val="0"/>
          <w:lang w:val="en-US"/>
        </w:rPr>
        <w:t>X</w:t>
      </w:r>
      <w:r>
        <w:rPr>
          <w:i w:val="1"/>
          <w:iCs w:val="1"/>
          <w:sz w:val="18"/>
          <w:szCs w:val="18"/>
          <w:rtl w:val="0"/>
          <w:lang w:val="en-US"/>
        </w:rPr>
        <w:t xml:space="preserve">” </w:t>
      </w:r>
      <w:r>
        <w:rPr>
          <w:i w:val="1"/>
          <w:iCs w:val="1"/>
          <w:sz w:val="18"/>
          <w:szCs w:val="18"/>
          <w:rtl w:val="0"/>
          <w:lang w:val="en-US"/>
        </w:rPr>
        <w:t>mai mult de o casuta sau nu se bifeaza nicio casuta, votul respectiv este considerat nul/nu se considera exercitat.</w:t>
      </w:r>
    </w:p>
    <w:p>
      <w:pPr>
        <w:pStyle w:val="List Paragraph"/>
        <w:numPr>
          <w:ilvl w:val="0"/>
          <w:numId w:val="11"/>
        </w:numPr>
        <w:bidi w:val="0"/>
        <w:spacing w:after="0" w:line="276" w:lineRule="auto"/>
        <w:ind w:right="0"/>
        <w:jc w:val="both"/>
        <w:rPr>
          <w:i w:val="1"/>
          <w:iCs w:val="1"/>
          <w:sz w:val="18"/>
          <w:szCs w:val="18"/>
          <w:rtl w:val="0"/>
          <w:lang w:val="en-US"/>
        </w:rPr>
      </w:pPr>
      <w:r>
        <w:rPr>
          <w:i w:val="1"/>
          <w:iCs w:val="1"/>
          <w:sz w:val="18"/>
          <w:szCs w:val="18"/>
          <w:rtl w:val="0"/>
          <w:lang w:val="en-US"/>
        </w:rPr>
        <w:t>Prezentul formular se va completa integral.</w:t>
      </w:r>
    </w:p>
    <w:p>
      <w:pPr>
        <w:pStyle w:val="List Paragraph"/>
        <w:numPr>
          <w:ilvl w:val="0"/>
          <w:numId w:val="11"/>
        </w:numPr>
        <w:bidi w:val="0"/>
        <w:spacing w:after="0" w:line="276" w:lineRule="auto"/>
        <w:ind w:right="0"/>
        <w:jc w:val="both"/>
        <w:rPr>
          <w:i w:val="1"/>
          <w:iCs w:val="1"/>
          <w:sz w:val="18"/>
          <w:szCs w:val="18"/>
          <w:rtl w:val="0"/>
          <w:lang w:val="en-US"/>
        </w:rPr>
      </w:pPr>
      <w:r>
        <w:rPr>
          <w:i w:val="1"/>
          <w:iCs w:val="1"/>
          <w:sz w:val="18"/>
          <w:szCs w:val="18"/>
          <w:rtl w:val="0"/>
          <w:lang w:val="en-US"/>
        </w:rPr>
        <w:t>In situatia in care actionarul va transmite succesiv mai mult de o procura speciala, Societatea va considera ca procura speciala cu data cea mai recenta revoca toate procurile speciale transmise anterior.</w:t>
      </w:r>
    </w:p>
    <w:p>
      <w:pPr>
        <w:pStyle w:val="List Paragraph"/>
        <w:numPr>
          <w:ilvl w:val="0"/>
          <w:numId w:val="11"/>
        </w:numPr>
        <w:bidi w:val="0"/>
        <w:spacing w:after="0" w:line="276" w:lineRule="auto"/>
        <w:ind w:right="0"/>
        <w:jc w:val="both"/>
        <w:rPr>
          <w:i w:val="1"/>
          <w:iCs w:val="1"/>
          <w:sz w:val="18"/>
          <w:szCs w:val="18"/>
          <w:rtl w:val="0"/>
          <w:lang w:val="en-US"/>
        </w:rPr>
      </w:pPr>
      <w:r>
        <w:rPr>
          <w:i w:val="1"/>
          <w:iCs w:val="1"/>
          <w:sz w:val="18"/>
          <w:szCs w:val="18"/>
          <w:rtl w:val="0"/>
          <w:lang w:val="en-US"/>
        </w:rPr>
        <w:t>Termenul limita pentru receptionarea de catre Societate a procurilor speciale pentru AGEA este 28.08.2020, ora 10:00.</w:t>
      </w:r>
    </w:p>
    <w:p>
      <w:pPr>
        <w:pStyle w:val="Body"/>
        <w:spacing w:after="0" w:line="360" w:lineRule="auto"/>
        <w:rPr>
          <w:b w:val="1"/>
          <w:bCs w:val="1"/>
        </w:rPr>
      </w:pPr>
    </w:p>
    <w:p>
      <w:pPr>
        <w:pStyle w:val="Body"/>
        <w:spacing w:after="0" w:line="360" w:lineRule="auto"/>
        <w:rPr>
          <w:b w:val="1"/>
          <w:bCs w:val="1"/>
        </w:rPr>
      </w:pPr>
    </w:p>
    <w:p>
      <w:pPr>
        <w:pStyle w:val="Body"/>
        <w:spacing w:after="0" w:line="360" w:lineRule="auto"/>
        <w:rPr>
          <w:b w:val="1"/>
          <w:bCs w:val="1"/>
        </w:rPr>
      </w:pPr>
      <w:r>
        <w:rPr>
          <w:b w:val="1"/>
          <w:bCs w:val="1"/>
          <w:rtl w:val="0"/>
          <w:lang w:val="it-IT"/>
        </w:rPr>
        <w:t>Denumire actionar,</w:t>
        <w:tab/>
        <w:tab/>
        <w:tab/>
        <w:tab/>
        <w:tab/>
        <w:tab/>
        <w:tab/>
        <w:t>Data ....../....../.............</w:t>
      </w:r>
    </w:p>
    <w:p>
      <w:pPr>
        <w:pStyle w:val="Body"/>
        <w:spacing w:after="0" w:line="360" w:lineRule="auto"/>
        <w:rPr>
          <w:b w:val="1"/>
          <w:bCs w:val="1"/>
        </w:rPr>
      </w:pPr>
      <w:r>
        <w:rPr>
          <w:b w:val="1"/>
          <w:bCs w:val="1"/>
          <w:rtl w:val="0"/>
        </w:rPr>
        <w:t>.....................................................</w:t>
      </w:r>
    </w:p>
    <w:p>
      <w:pPr>
        <w:pStyle w:val="Body"/>
        <w:spacing w:after="0" w:line="360" w:lineRule="auto"/>
        <w:rPr>
          <w:b w:val="1"/>
          <w:bCs w:val="1"/>
        </w:rPr>
      </w:pPr>
      <w:r>
        <w:rPr>
          <w:b w:val="1"/>
          <w:bCs w:val="1"/>
          <w:rtl w:val="0"/>
        </w:rPr>
        <w:t>Prin ..............................................</w:t>
      </w:r>
    </w:p>
    <w:p>
      <w:pPr>
        <w:pStyle w:val="Body"/>
        <w:spacing w:after="0" w:line="360" w:lineRule="auto"/>
        <w:rPr>
          <w:b w:val="1"/>
          <w:bCs w:val="1"/>
        </w:rPr>
      </w:pPr>
    </w:p>
    <w:p>
      <w:pPr>
        <w:pStyle w:val="Body"/>
        <w:spacing w:after="0" w:line="360" w:lineRule="auto"/>
      </w:pPr>
      <w:r>
        <w:rPr>
          <w:b w:val="1"/>
          <w:bCs w:val="1"/>
          <w:rtl w:val="0"/>
          <w:lang w:val="en-US"/>
        </w:rPr>
        <w:t>Semnatura __________________</w:t>
      </w:r>
    </w:p>
    <w:sectPr>
      <w:headerReference w:type="default" r:id="rId4"/>
      <w:footerReference w:type="default" r:id="rId5"/>
      <w:pgSz w:w="12240" w:h="15840" w:orient="portrait"/>
      <w:pgMar w:top="99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45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9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5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7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9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21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1"/>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1"/>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1"/>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num" w:pos="450"/>
          </w:tabs>
          <w:ind w:left="90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1170"/>
          </w:tabs>
          <w:ind w:left="162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1890"/>
          </w:tabs>
          <w:ind w:left="2340" w:hanging="7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610"/>
          </w:tabs>
          <w:ind w:left="306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3330"/>
          </w:tabs>
          <w:ind w:left="378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4050"/>
          </w:tabs>
          <w:ind w:left="4500" w:hanging="7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4770"/>
          </w:tabs>
          <w:ind w:left="522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5490"/>
          </w:tabs>
          <w:ind w:left="594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6210"/>
          </w:tabs>
          <w:ind w:left="6660" w:hanging="7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2"/>
    </w:lvlOverride>
  </w:num>
  <w:num w:numId="5">
    <w:abstractNumId w:val="0"/>
    <w:lvlOverride w:ilvl="0">
      <w:startOverride w:val="3"/>
    </w:lvlOverride>
  </w:num>
  <w:num w:numId="6">
    <w:abstractNumId w:val="0"/>
    <w:lvlOverride w:ilvl="0">
      <w:startOverride w:val="4"/>
      <w:lvl w:ilvl="0">
        <w:start w:val="4"/>
        <w:numFmt w:val="decimal"/>
        <w:suff w:val="tab"/>
        <w:lvlText w:val="%1."/>
        <w:lvlJc w:val="left"/>
        <w:pPr>
          <w:ind w:left="540" w:hanging="45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260" w:hanging="45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980" w:hanging="38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700" w:hanging="45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420" w:hanging="45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140" w:hanging="38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860" w:hanging="45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580" w:hanging="45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300" w:hanging="38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startOverride w:val="5"/>
    </w:lvlOverride>
  </w:num>
  <w:num w:numId="8">
    <w:abstractNumId w:val="0"/>
    <w:lvlOverride w:ilvl="0">
      <w:startOverride w:val="6"/>
    </w:lvlOverride>
  </w:num>
  <w:num w:numId="9">
    <w:abstractNumId w:val="0"/>
    <w:lvlOverride w:ilvl="0">
      <w:startOverride w:val="7"/>
    </w:lvlOverride>
  </w:num>
  <w:num w:numId="10">
    <w:abstractNumId w:val="3"/>
  </w:num>
  <w:num w:numId="11">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1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